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8"/>
        </w:rPr>
        <w:t>Transport Break-even Engine WebApp</w:t>
      </w:r>
    </w:p>
    <w:p>
      <w:pPr>
        <w:jc w:val="center"/>
      </w:pPr>
      <w:r>
        <w:rPr>
          <w:color w:val="1F4E79"/>
          <w:sz w:val="32"/>
        </w:rPr>
        <w:t>Full Implementation Blueprint</w:t>
      </w:r>
    </w:p>
    <w:p>
      <w:pPr>
        <w:jc w:val="center"/>
      </w:pPr>
      <w:r>
        <w:rPr>
          <w:sz w:val="21"/>
        </w:rPr>
        <w:t>Workbook-to-webapp conversion for operational break-even, pricing scenarios, tax profile logic, load capability and sensitivity analysis</w:t>
      </w:r>
    </w:p>
    <w:p>
      <w:r/>
    </w:p>
    <w:tbl>
      <w:tblPr>
        <w:tblStyle w:val="TableGrid"/>
        <w:tblW w:type="auto" w:w="0"/>
        <w:jc w:val="center"/>
        <w:tblLayout w:type="autofit"/>
        <w:tblLook w:firstColumn="1" w:firstRow="1" w:lastColumn="0" w:lastRow="0" w:noHBand="0" w:noVBand="1" w:val="04A0"/>
      </w:tblPr>
      <w:tblGrid>
        <w:gridCol w:w="5184"/>
        <w:gridCol w:w="5184"/>
      </w:tblGrid>
      <w:tr>
        <w:tc>
          <w:tcPr>
            <w:tcW w:type="dxa" w:w="2448"/>
            <w:vAlign w:val="top"/>
            <w:shd w:fill="0F766E"/>
          </w:tcPr>
          <w:p>
            <w:r>
              <w:rPr>
                <w:b/>
                <w:color w:val="FFFFFF"/>
                <w:sz w:val="17"/>
              </w:rPr>
            </w:r>
            <w:r>
              <w:rPr>
                <w:b/>
                <w:color w:val="FFFFFF"/>
                <w:sz w:val="17"/>
              </w:rPr>
              <w:t>Field</w:t>
            </w:r>
          </w:p>
        </w:tc>
        <w:tc>
          <w:tcPr>
            <w:tcW w:type="dxa" w:w="8208"/>
            <w:vAlign w:val="top"/>
            <w:shd w:fill="0F766E"/>
          </w:tcPr>
          <w:p>
            <w:r>
              <w:rPr>
                <w:b/>
                <w:color w:val="FFFFFF"/>
                <w:sz w:val="17"/>
              </w:rPr>
            </w:r>
            <w:r>
              <w:rPr>
                <w:b/>
                <w:color w:val="FFFFFF"/>
                <w:sz w:val="17"/>
              </w:rPr>
              <w:t>Value</w:t>
            </w:r>
          </w:p>
        </w:tc>
      </w:tr>
      <w:tr>
        <w:tc>
          <w:tcPr>
            <w:tcW w:type="dxa" w:w="2448"/>
            <w:vAlign w:val="top"/>
          </w:tcPr>
          <w:p>
            <w:r>
              <w:rPr>
                <w:sz w:val="17"/>
              </w:rPr>
            </w:r>
            <w:r>
              <w:rPr>
                <w:b w:val="0"/>
                <w:sz w:val="17"/>
              </w:rPr>
              <w:t>Document status</w:t>
            </w:r>
          </w:p>
        </w:tc>
        <w:tc>
          <w:tcPr>
            <w:tcW w:type="dxa" w:w="8208"/>
            <w:vAlign w:val="top"/>
          </w:tcPr>
          <w:p>
            <w:r>
              <w:rPr>
                <w:sz w:val="17"/>
              </w:rPr>
            </w:r>
            <w:r>
              <w:rPr>
                <w:b w:val="0"/>
                <w:sz w:val="17"/>
              </w:rPr>
              <w:t>Implementation-ready blueprint</w:t>
            </w:r>
          </w:p>
        </w:tc>
      </w:tr>
      <w:tr>
        <w:tc>
          <w:tcPr>
            <w:tcW w:type="dxa" w:w="2448"/>
            <w:vAlign w:val="top"/>
          </w:tcPr>
          <w:p>
            <w:r>
              <w:rPr>
                <w:sz w:val="17"/>
              </w:rPr>
            </w:r>
            <w:r>
              <w:rPr>
                <w:b w:val="0"/>
                <w:sz w:val="17"/>
              </w:rPr>
              <w:t>Version</w:t>
            </w:r>
          </w:p>
        </w:tc>
        <w:tc>
          <w:tcPr>
            <w:tcW w:type="dxa" w:w="8208"/>
            <w:vAlign w:val="top"/>
          </w:tcPr>
          <w:p>
            <w:r>
              <w:rPr>
                <w:sz w:val="17"/>
              </w:rPr>
            </w:r>
            <w:r>
              <w:rPr>
                <w:b w:val="0"/>
                <w:sz w:val="17"/>
              </w:rPr>
              <w:t>v1.0</w:t>
            </w:r>
          </w:p>
        </w:tc>
      </w:tr>
      <w:tr>
        <w:tc>
          <w:tcPr>
            <w:tcW w:type="dxa" w:w="2448"/>
            <w:vAlign w:val="top"/>
          </w:tcPr>
          <w:p>
            <w:r>
              <w:rPr>
                <w:sz w:val="17"/>
              </w:rPr>
            </w:r>
            <w:r>
              <w:rPr>
                <w:b w:val="0"/>
                <w:sz w:val="17"/>
              </w:rPr>
              <w:t>Date</w:t>
            </w:r>
          </w:p>
        </w:tc>
        <w:tc>
          <w:tcPr>
            <w:tcW w:type="dxa" w:w="8208"/>
            <w:vAlign w:val="top"/>
          </w:tcPr>
          <w:p>
            <w:r>
              <w:rPr>
                <w:sz w:val="17"/>
              </w:rPr>
            </w:r>
            <w:r>
              <w:rPr>
                <w:b w:val="0"/>
                <w:sz w:val="17"/>
              </w:rPr>
              <w:t>2026-05-06</w:t>
            </w:r>
          </w:p>
        </w:tc>
      </w:tr>
      <w:tr>
        <w:tc>
          <w:tcPr>
            <w:tcW w:type="dxa" w:w="2448"/>
            <w:vAlign w:val="top"/>
          </w:tcPr>
          <w:p>
            <w:r>
              <w:rPr>
                <w:sz w:val="17"/>
              </w:rPr>
            </w:r>
            <w:r>
              <w:rPr>
                <w:b w:val="0"/>
                <w:sz w:val="17"/>
              </w:rPr>
              <w:t>Primary stack</w:t>
            </w:r>
          </w:p>
        </w:tc>
        <w:tc>
          <w:tcPr>
            <w:tcW w:type="dxa" w:w="8208"/>
            <w:vAlign w:val="top"/>
          </w:tcPr>
          <w:p>
            <w:r>
              <w:rPr>
                <w:sz w:val="17"/>
              </w:rPr>
            </w:r>
            <w:r>
              <w:rPr>
                <w:b w:val="0"/>
                <w:sz w:val="17"/>
              </w:rPr>
              <w:t>React + Vite + TypeScript, Node.js + Express + TypeScript, PostgreSQL, Prisma, Zod</w:t>
            </w:r>
          </w:p>
        </w:tc>
      </w:tr>
      <w:tr>
        <w:tc>
          <w:tcPr>
            <w:tcW w:type="dxa" w:w="2448"/>
            <w:vAlign w:val="top"/>
          </w:tcPr>
          <w:p>
            <w:r>
              <w:rPr>
                <w:sz w:val="17"/>
              </w:rPr>
            </w:r>
            <w:r>
              <w:rPr>
                <w:b w:val="0"/>
                <w:sz w:val="17"/>
              </w:rPr>
              <w:t>Primary output</w:t>
            </w:r>
          </w:p>
        </w:tc>
        <w:tc>
          <w:tcPr>
            <w:tcW w:type="dxa" w:w="8208"/>
            <w:vAlign w:val="top"/>
          </w:tcPr>
          <w:p>
            <w:r>
              <w:rPr>
                <w:sz w:val="17"/>
              </w:rPr>
            </w:r>
            <w:r>
              <w:rPr>
                <w:b w:val="0"/>
                <w:sz w:val="17"/>
              </w:rPr>
              <w:t>A webapp that converts transport operating assumptions into break-even rates, pricing scenarios, tax-adjusted profitability and load-capability sensitivity.</w:t>
            </w:r>
          </w:p>
        </w:tc>
      </w:tr>
    </w:tbl>
    <w:tbl>
      <w:tblPr>
        <w:tblStyle w:val="TableGrid"/>
        <w:tblW w:type="auto" w:w="0"/>
        <w:tblLook w:firstColumn="1" w:firstRow="1" w:lastColumn="0" w:lastRow="0" w:noHBand="0" w:noVBand="1" w:val="04A0"/>
      </w:tblPr>
      <w:tblGrid>
        <w:gridCol w:w="10368"/>
      </w:tblGrid>
      <w:tr>
        <w:tc>
          <w:tcPr>
            <w:tcW w:type="dxa" w:w="10368"/>
            <w:shd w:fill="0F766E"/>
          </w:tcPr>
          <w:p>
            <w:r/>
            <w:r>
              <w:rPr>
                <w:b/>
                <w:color w:val="FFFFFF"/>
                <w:sz w:val="17"/>
              </w:rPr>
              <w:t>Implementation principle</w:t>
            </w:r>
          </w:p>
        </w:tc>
      </w:tr>
      <w:tr>
        <w:tc>
          <w:tcPr>
            <w:tcW w:type="dxa" w:w="10368"/>
            <w:shd w:fill="ECFDF5"/>
          </w:tcPr>
          <w:p>
            <w:r/>
            <w:r>
              <w:rPr>
                <w:sz w:val="18"/>
              </w:rPr>
              <w:t>The webapp must not run Excel. The workbook is the source model. The application must convert each formula, lookup and decision rule into typed backend services, validated API contracts, auditable database records and user-friendly frontend pages.</w:t>
            </w:r>
          </w:p>
        </w:tc>
      </w:tr>
    </w:tbl>
    <w:p>
      <w:r>
        <w:br w:type="page"/>
      </w:r>
    </w:p>
    <w:p>
      <w:pPr>
        <w:pStyle w:val="Heading1"/>
      </w:pPr>
      <w:r>
        <w:t>Version Control</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152"/>
            <w:vAlign w:val="top"/>
            <w:shd w:fill="0F766E"/>
          </w:tcPr>
          <w:p>
            <w:r>
              <w:rPr>
                <w:b/>
                <w:color w:val="FFFFFF"/>
                <w:sz w:val="17"/>
              </w:rPr>
            </w:r>
            <w:r>
              <w:rPr>
                <w:b/>
                <w:color w:val="FFFFFF"/>
                <w:sz w:val="17"/>
              </w:rPr>
              <w:t>Version</w:t>
            </w:r>
          </w:p>
        </w:tc>
        <w:tc>
          <w:tcPr>
            <w:tcW w:type="dxa" w:w="1584"/>
            <w:vAlign w:val="top"/>
            <w:shd w:fill="0F766E"/>
          </w:tcPr>
          <w:p>
            <w:r>
              <w:rPr>
                <w:b/>
                <w:color w:val="FFFFFF"/>
                <w:sz w:val="17"/>
              </w:rPr>
            </w:r>
            <w:r>
              <w:rPr>
                <w:b/>
                <w:color w:val="FFFFFF"/>
                <w:sz w:val="17"/>
              </w:rPr>
              <w:t>Date</w:t>
            </w:r>
          </w:p>
        </w:tc>
        <w:tc>
          <w:tcPr>
            <w:tcW w:type="dxa" w:w="6480"/>
            <w:vAlign w:val="top"/>
            <w:shd w:fill="0F766E"/>
          </w:tcPr>
          <w:p>
            <w:r>
              <w:rPr>
                <w:b/>
                <w:color w:val="FFFFFF"/>
                <w:sz w:val="17"/>
              </w:rPr>
            </w:r>
            <w:r>
              <w:rPr>
                <w:b/>
                <w:color w:val="FFFFFF"/>
                <w:sz w:val="17"/>
              </w:rPr>
              <w:t>Change</w:t>
            </w:r>
          </w:p>
        </w:tc>
        <w:tc>
          <w:tcPr>
            <w:tcW w:type="dxa" w:w="2016"/>
            <w:vAlign w:val="top"/>
            <w:shd w:fill="0F766E"/>
          </w:tcPr>
          <w:p>
            <w:r>
              <w:rPr>
                <w:b/>
                <w:color w:val="FFFFFF"/>
                <w:sz w:val="17"/>
              </w:rPr>
            </w:r>
            <w:r>
              <w:rPr>
                <w:b/>
                <w:color w:val="FFFFFF"/>
                <w:sz w:val="17"/>
              </w:rPr>
              <w:t>Owner</w:t>
            </w:r>
          </w:p>
        </w:tc>
      </w:tr>
      <w:tr>
        <w:tc>
          <w:tcPr>
            <w:tcW w:type="dxa" w:w="1152"/>
            <w:vAlign w:val="top"/>
          </w:tcPr>
          <w:p>
            <w:r>
              <w:rPr>
                <w:sz w:val="17"/>
              </w:rPr>
            </w:r>
            <w:r>
              <w:rPr>
                <w:b w:val="0"/>
                <w:sz w:val="17"/>
              </w:rPr>
              <w:t>v1.0</w:t>
            </w:r>
          </w:p>
        </w:tc>
        <w:tc>
          <w:tcPr>
            <w:tcW w:type="dxa" w:w="1584"/>
            <w:vAlign w:val="top"/>
          </w:tcPr>
          <w:p>
            <w:r>
              <w:rPr>
                <w:sz w:val="17"/>
              </w:rPr>
            </w:r>
            <w:r>
              <w:rPr>
                <w:b w:val="0"/>
                <w:sz w:val="17"/>
              </w:rPr>
              <w:t>2026-05-06</w:t>
            </w:r>
          </w:p>
        </w:tc>
        <w:tc>
          <w:tcPr>
            <w:tcW w:type="dxa" w:w="6480"/>
            <w:vAlign w:val="top"/>
          </w:tcPr>
          <w:p>
            <w:r>
              <w:rPr>
                <w:sz w:val="17"/>
              </w:rPr>
            </w:r>
            <w:r>
              <w:rPr>
                <w:b w:val="0"/>
                <w:sz w:val="17"/>
              </w:rPr>
              <w:t>Full implementation blueprint generated from the improved Excel model and webapp planning sequence.</w:t>
            </w:r>
          </w:p>
        </w:tc>
        <w:tc>
          <w:tcPr>
            <w:tcW w:type="dxa" w:w="2016"/>
            <w:vAlign w:val="top"/>
          </w:tcPr>
          <w:p>
            <w:r>
              <w:rPr>
                <w:sz w:val="17"/>
              </w:rPr>
            </w:r>
            <w:r>
              <w:rPr>
                <w:b w:val="0"/>
                <w:sz w:val="17"/>
              </w:rPr>
              <w:t>Product owner / implementation team</w:t>
            </w:r>
          </w:p>
        </w:tc>
      </w:tr>
    </w:tbl>
    <w:p>
      <w:pPr>
        <w:pStyle w:val="Heading1"/>
      </w:pPr>
      <w:r>
        <w:t>Table of Contents</w:t>
      </w:r>
    </w:p>
    <w:p>
      <w:pPr>
        <w:pStyle w:val="ListNumber"/>
      </w:pPr>
      <w:r>
        <w:t>1. Product vision and product identity</w:t>
      </w:r>
    </w:p>
    <w:p>
      <w:pPr>
        <w:pStyle w:val="ListNumber"/>
      </w:pPr>
      <w:r>
        <w:t>2. Business scope and non-scope</w:t>
      </w:r>
    </w:p>
    <w:p>
      <w:pPr>
        <w:pStyle w:val="ListNumber"/>
      </w:pPr>
      <w:r>
        <w:t>3. Workbook-to-webapp conversion map</w:t>
      </w:r>
    </w:p>
    <w:p>
      <w:pPr>
        <w:pStyle w:val="ListNumber"/>
      </w:pPr>
      <w:r>
        <w:t>4. User journey and filling flow</w:t>
      </w:r>
    </w:p>
    <w:p>
      <w:pPr>
        <w:pStyle w:val="ListNumber"/>
      </w:pPr>
      <w:r>
        <w:t>5. Functional modules</w:t>
      </w:r>
    </w:p>
    <w:p>
      <w:pPr>
        <w:pStyle w:val="ListNumber"/>
      </w:pPr>
      <w:r>
        <w:t>6. Calculation engine and formula governance</w:t>
      </w:r>
    </w:p>
    <w:p>
      <w:pPr>
        <w:pStyle w:val="ListNumber"/>
      </w:pPr>
      <w:r>
        <w:t>7. Data dictionary</w:t>
      </w:r>
    </w:p>
    <w:p>
      <w:pPr>
        <w:pStyle w:val="ListNumber"/>
      </w:pPr>
      <w:r>
        <w:t>8. Validation rules</w:t>
      </w:r>
    </w:p>
    <w:p>
      <w:pPr>
        <w:pStyle w:val="ListNumber"/>
      </w:pPr>
      <w:r>
        <w:t>9. Tax profile, jurisdiction cascade and governance</w:t>
      </w:r>
    </w:p>
    <w:p>
      <w:pPr>
        <w:pStyle w:val="ListNumber"/>
      </w:pPr>
      <w:r>
        <w:t>10. Vehicle classes and load capability</w:t>
      </w:r>
    </w:p>
    <w:p>
      <w:pPr>
        <w:pStyle w:val="ListNumber"/>
      </w:pPr>
      <w:r>
        <w:t>11. Pricing scenarios and after-tax profitability</w:t>
      </w:r>
    </w:p>
    <w:p>
      <w:pPr>
        <w:pStyle w:val="ListNumber"/>
      </w:pPr>
      <w:r>
        <w:t>12. Sensitivity and reporting</w:t>
      </w:r>
    </w:p>
    <w:p>
      <w:pPr>
        <w:pStyle w:val="ListNumber"/>
      </w:pPr>
      <w:r>
        <w:t>13. Database design</w:t>
      </w:r>
    </w:p>
    <w:p>
      <w:pPr>
        <w:pStyle w:val="ListNumber"/>
      </w:pPr>
      <w:r>
        <w:t>14. Backend API specification</w:t>
      </w:r>
    </w:p>
    <w:p>
      <w:pPr>
        <w:pStyle w:val="ListNumber"/>
      </w:pPr>
      <w:r>
        <w:t>15. Frontend page specification</w:t>
      </w:r>
    </w:p>
    <w:p>
      <w:pPr>
        <w:pStyle w:val="ListNumber"/>
      </w:pPr>
      <w:r>
        <w:t>16. Roles, permissions and audit trail</w:t>
      </w:r>
    </w:p>
    <w:p>
      <w:pPr>
        <w:pStyle w:val="ListNumber"/>
      </w:pPr>
      <w:r>
        <w:t>17. Export, import and reporting deliverables</w:t>
      </w:r>
    </w:p>
    <w:p>
      <w:pPr>
        <w:pStyle w:val="ListNumber"/>
      </w:pPr>
      <w:r>
        <w:t>18. Edge cases and exception handling</w:t>
      </w:r>
    </w:p>
    <w:p>
      <w:pPr>
        <w:pStyle w:val="ListNumber"/>
      </w:pPr>
      <w:r>
        <w:t>19. Technical architecture and stack</w:t>
      </w:r>
    </w:p>
    <w:p>
      <w:pPr>
        <w:pStyle w:val="ListNumber"/>
      </w:pPr>
      <w:r>
        <w:t>20. Testing strategy</w:t>
      </w:r>
    </w:p>
    <w:p>
      <w:pPr>
        <w:pStyle w:val="ListNumber"/>
      </w:pPr>
      <w:r>
        <w:t>21. Deployment and operations</w:t>
      </w:r>
    </w:p>
    <w:p>
      <w:pPr>
        <w:pStyle w:val="ListNumber"/>
      </w:pPr>
      <w:r>
        <w:t>22. Implementation roadmap and sprint acceptance criteria</w:t>
      </w:r>
    </w:p>
    <w:p>
      <w:pPr>
        <w:pStyle w:val="ListNumber"/>
      </w:pPr>
      <w:r>
        <w:t>23. Appendices: SQL, API payloads, backend structure and calculation pseudocode</w:t>
      </w:r>
    </w:p>
    <w:p>
      <w:r>
        <w:br w:type="page"/>
      </w:r>
    </w:p>
    <w:p>
      <w:pPr>
        <w:pStyle w:val="Heading1"/>
      </w:pPr>
      <w:r>
        <w:t>1. Product Vision and Product Identity</w:t>
      </w:r>
    </w:p>
    <w:p>
      <w:r>
        <w:t>The Transport Break-even Engine WebApp is a decision engine for transport pricing. It converts operational assumptions, company and tax profile, vehicle capability, load utilisation and commercial markup into auditable customer-rate scenarios.</w:t>
      </w:r>
    </w:p>
    <w:p>
      <w:r>
        <w:t>The product is not only a cost-per-kilometre calculator. It is a structured business engine that answers four commercial questions:</w:t>
      </w:r>
    </w:p>
    <w:p>
      <w:pPr>
        <w:pStyle w:val="ListBullet"/>
      </w:pPr>
      <w:r>
        <w:t>What is the operational break-even rate per loaded kilometre?</w:t>
      </w:r>
    </w:p>
    <w:p>
      <w:pPr>
        <w:pStyle w:val="ListBullet"/>
      </w:pPr>
      <w:r>
        <w:t>What is the break-even rate per tonne-kilometre after considering payload and utilisation?</w:t>
      </w:r>
    </w:p>
    <w:p>
      <w:pPr>
        <w:pStyle w:val="ListBullet"/>
      </w:pPr>
      <w:r>
        <w:t>What customer rate is required after applying a selected markup over break-even?</w:t>
      </w:r>
    </w:p>
    <w:p>
      <w:pPr>
        <w:pStyle w:val="ListBullet"/>
      </w:pPr>
      <w:r>
        <w:t>What is the after-tax profitability once VAT, business tax and payroll contribution assumptions are applied?</w:t>
      </w:r>
    </w:p>
    <w:tbl>
      <w:tblPr>
        <w:tblStyle w:val="TableGrid"/>
        <w:tblW w:type="auto" w:w="0"/>
        <w:tblLook w:firstColumn="1" w:firstRow="1" w:lastColumn="0" w:lastRow="0" w:noHBand="0" w:noVBand="1" w:val="04A0"/>
      </w:tblPr>
      <w:tblGrid>
        <w:gridCol w:w="10368"/>
      </w:tblGrid>
      <w:tr>
        <w:tc>
          <w:tcPr>
            <w:tcW w:type="dxa" w:w="10368"/>
            <w:shd w:fill="0F766E"/>
          </w:tcPr>
          <w:p>
            <w:r/>
            <w:r>
              <w:rPr>
                <w:b/>
                <w:color w:val="FFFFFF"/>
                <w:sz w:val="17"/>
              </w:rPr>
              <w:t>Product positioning statement</w:t>
            </w:r>
          </w:p>
        </w:tc>
      </w:tr>
      <w:tr>
        <w:tc>
          <w:tcPr>
            <w:tcW w:type="dxa" w:w="10368"/>
            <w:shd w:fill="ECFDF5"/>
          </w:tcPr>
          <w:p>
            <w:r/>
            <w:r>
              <w:rPr>
                <w:sz w:val="18"/>
              </w:rPr>
              <w:t>A transport pricing and break-even decision engine that turns operational assumptions, jurisdiction-specific tax profiles, vehicle load capability and markup scenarios into auditable customer-rate recommendations.</w:t>
            </w:r>
          </w:p>
        </w:tc>
      </w:tr>
    </w:tbl>
    <w:p>
      <w:pPr>
        <w:pStyle w:val="Heading1"/>
      </w:pPr>
      <w:r>
        <w:t>2. Business Scope and Non-Scope</w:t>
      </w:r>
    </w:p>
    <w:tbl>
      <w:tblPr>
        <w:tblStyle w:val="TableGrid"/>
        <w:tblW w:type="auto" w:w="0"/>
        <w:jc w:val="center"/>
        <w:tblLayout w:type="autofit"/>
        <w:tblLook w:firstColumn="1" w:firstRow="1" w:lastColumn="0" w:lastRow="0" w:noHBand="0" w:noVBand="1" w:val="04A0"/>
      </w:tblPr>
      <w:tblGrid>
        <w:gridCol w:w="5184"/>
        <w:gridCol w:w="5184"/>
      </w:tblGrid>
      <w:tr>
        <w:tc>
          <w:tcPr>
            <w:tcW w:type="dxa" w:w="2736"/>
            <w:vAlign w:val="top"/>
            <w:shd w:fill="0F766E"/>
          </w:tcPr>
          <w:p>
            <w:r>
              <w:rPr>
                <w:b/>
                <w:color w:val="FFFFFF"/>
                <w:sz w:val="17"/>
              </w:rPr>
            </w:r>
            <w:r>
              <w:rPr>
                <w:b/>
                <w:color w:val="FFFFFF"/>
                <w:sz w:val="17"/>
              </w:rPr>
              <w:t>In scope</w:t>
            </w:r>
          </w:p>
        </w:tc>
        <w:tc>
          <w:tcPr>
            <w:tcW w:type="dxa" w:w="7920"/>
            <w:vAlign w:val="top"/>
            <w:shd w:fill="0F766E"/>
          </w:tcPr>
          <w:p>
            <w:r>
              <w:rPr>
                <w:b/>
                <w:color w:val="FFFFFF"/>
                <w:sz w:val="17"/>
              </w:rPr>
            </w:r>
            <w:r>
              <w:rPr>
                <w:b/>
                <w:color w:val="FFFFFF"/>
                <w:sz w:val="17"/>
              </w:rPr>
              <w:t>Description</w:t>
            </w:r>
          </w:p>
        </w:tc>
      </w:tr>
      <w:tr>
        <w:tc>
          <w:tcPr>
            <w:tcW w:type="dxa" w:w="2736"/>
            <w:vAlign w:val="top"/>
          </w:tcPr>
          <w:p>
            <w:r>
              <w:rPr>
                <w:sz w:val="17"/>
              </w:rPr>
            </w:r>
            <w:r>
              <w:rPr>
                <w:b w:val="0"/>
                <w:sz w:val="17"/>
              </w:rPr>
              <w:t>Operational break-even</w:t>
            </w:r>
          </w:p>
        </w:tc>
        <w:tc>
          <w:tcPr>
            <w:tcW w:type="dxa" w:w="7920"/>
            <w:vAlign w:val="top"/>
          </w:tcPr>
          <w:p>
            <w:r>
              <w:rPr>
                <w:sz w:val="17"/>
              </w:rPr>
            </w:r>
            <w:r>
              <w:rPr>
                <w:b w:val="0"/>
                <w:sz w:val="17"/>
              </w:rPr>
              <w:t>Compute total annual cost, loaded kilometres, tonne-kilometres, break-even EUR/loaded km and break-even EUR/tonne-km.</w:t>
            </w:r>
          </w:p>
        </w:tc>
      </w:tr>
      <w:tr>
        <w:tc>
          <w:tcPr>
            <w:tcW w:type="dxa" w:w="2736"/>
            <w:vAlign w:val="top"/>
          </w:tcPr>
          <w:p>
            <w:r>
              <w:rPr>
                <w:sz w:val="17"/>
              </w:rPr>
            </w:r>
            <w:r>
              <w:rPr>
                <w:b w:val="0"/>
                <w:sz w:val="17"/>
              </w:rPr>
              <w:t>Daily-km planning</w:t>
            </w:r>
          </w:p>
        </w:tc>
        <w:tc>
          <w:tcPr>
            <w:tcW w:type="dxa" w:w="7920"/>
            <w:vAlign w:val="top"/>
          </w:tcPr>
          <w:p>
            <w:r>
              <w:rPr>
                <w:sz w:val="17"/>
              </w:rPr>
            </w:r>
            <w:r>
              <w:rPr>
                <w:b w:val="0"/>
                <w:sz w:val="17"/>
              </w:rPr>
              <w:t>Daily km is the editable planning driver; annual km is computed as daily km x operating days per year.</w:t>
            </w:r>
          </w:p>
        </w:tc>
      </w:tr>
      <w:tr>
        <w:tc>
          <w:tcPr>
            <w:tcW w:type="dxa" w:w="2736"/>
            <w:vAlign w:val="top"/>
          </w:tcPr>
          <w:p>
            <w:r>
              <w:rPr>
                <w:sz w:val="17"/>
              </w:rPr>
            </w:r>
            <w:r>
              <w:rPr>
                <w:b w:val="0"/>
                <w:sz w:val="17"/>
              </w:rPr>
              <w:t>Company and tax profile</w:t>
            </w:r>
          </w:p>
        </w:tc>
        <w:tc>
          <w:tcPr>
            <w:tcW w:type="dxa" w:w="7920"/>
            <w:vAlign w:val="top"/>
          </w:tcPr>
          <w:p>
            <w:r>
              <w:rPr>
                <w:sz w:val="17"/>
              </w:rPr>
            </w:r>
            <w:r>
              <w:rPr>
                <w:b w:val="0"/>
                <w:sz w:val="17"/>
              </w:rPr>
              <w:t>Country/jurisdiction controls company type, tax defaults, employer contribution and vehicle-tax defaults.</w:t>
            </w:r>
          </w:p>
        </w:tc>
      </w:tr>
      <w:tr>
        <w:tc>
          <w:tcPr>
            <w:tcW w:type="dxa" w:w="2736"/>
            <w:vAlign w:val="top"/>
          </w:tcPr>
          <w:p>
            <w:r>
              <w:rPr>
                <w:sz w:val="17"/>
              </w:rPr>
            </w:r>
            <w:r>
              <w:rPr>
                <w:b w:val="0"/>
                <w:sz w:val="17"/>
              </w:rPr>
              <w:t>Pricing scenarios</w:t>
            </w:r>
          </w:p>
        </w:tc>
        <w:tc>
          <w:tcPr>
            <w:tcW w:type="dxa" w:w="7920"/>
            <w:vAlign w:val="top"/>
          </w:tcPr>
          <w:p>
            <w:r>
              <w:rPr>
                <w:sz w:val="17"/>
              </w:rPr>
            </w:r>
            <w:r>
              <w:rPr>
                <w:b w:val="0"/>
                <w:sz w:val="17"/>
              </w:rPr>
              <w:t>Customer rate is generated after break-even by adding markup percentages. It is not a raw input.</w:t>
            </w:r>
          </w:p>
        </w:tc>
      </w:tr>
      <w:tr>
        <w:tc>
          <w:tcPr>
            <w:tcW w:type="dxa" w:w="2736"/>
            <w:vAlign w:val="top"/>
          </w:tcPr>
          <w:p>
            <w:r>
              <w:rPr>
                <w:sz w:val="17"/>
              </w:rPr>
            </w:r>
            <w:r>
              <w:rPr>
                <w:b w:val="0"/>
                <w:sz w:val="17"/>
              </w:rPr>
              <w:t>Sensitivity analysis</w:t>
            </w:r>
          </w:p>
        </w:tc>
        <w:tc>
          <w:tcPr>
            <w:tcW w:type="dxa" w:w="7920"/>
            <w:vAlign w:val="top"/>
          </w:tcPr>
          <w:p>
            <w:r>
              <w:rPr>
                <w:sz w:val="17"/>
              </w:rPr>
            </w:r>
            <w:r>
              <w:rPr>
                <w:b w:val="0"/>
                <w:sz w:val="17"/>
              </w:rPr>
              <w:t>Compare profitability across vehicle class, payload utilisation, load factor, markup and fuel assumptions.</w:t>
            </w:r>
          </w:p>
        </w:tc>
      </w:tr>
      <w:tr>
        <w:tc>
          <w:tcPr>
            <w:tcW w:type="dxa" w:w="2736"/>
            <w:vAlign w:val="top"/>
          </w:tcPr>
          <w:p>
            <w:r>
              <w:rPr>
                <w:sz w:val="17"/>
              </w:rPr>
            </w:r>
            <w:r>
              <w:rPr>
                <w:b w:val="0"/>
                <w:sz w:val="17"/>
              </w:rPr>
              <w:t>History and audit</w:t>
            </w:r>
          </w:p>
        </w:tc>
        <w:tc>
          <w:tcPr>
            <w:tcW w:type="dxa" w:w="7920"/>
            <w:vAlign w:val="top"/>
          </w:tcPr>
          <w:p>
            <w:r>
              <w:rPr>
                <w:sz w:val="17"/>
              </w:rPr>
            </w:r>
            <w:r>
              <w:rPr>
                <w:b w:val="0"/>
                <w:sz w:val="17"/>
              </w:rPr>
              <w:t>Save calculation runs with full input and output snapshots for later comparison.</w:t>
            </w:r>
          </w:p>
        </w:tc>
      </w:tr>
    </w:tbl>
    <w:tbl>
      <w:tblPr>
        <w:tblStyle w:val="TableGrid"/>
        <w:tblW w:type="auto" w:w="0"/>
        <w:jc w:val="center"/>
        <w:tblLayout w:type="autofit"/>
        <w:tblLook w:firstColumn="1" w:firstRow="1" w:lastColumn="0" w:lastRow="0" w:noHBand="0" w:noVBand="1" w:val="04A0"/>
      </w:tblPr>
      <w:tblGrid>
        <w:gridCol w:w="5184"/>
        <w:gridCol w:w="5184"/>
      </w:tblGrid>
      <w:tr>
        <w:tc>
          <w:tcPr>
            <w:tcW w:type="dxa" w:w="2736"/>
            <w:vAlign w:val="top"/>
            <w:shd w:fill="0F766E"/>
          </w:tcPr>
          <w:p>
            <w:r>
              <w:rPr>
                <w:b/>
                <w:color w:val="FFFFFF"/>
                <w:sz w:val="17"/>
              </w:rPr>
            </w:r>
            <w:r>
              <w:rPr>
                <w:b/>
                <w:color w:val="FFFFFF"/>
                <w:sz w:val="17"/>
              </w:rPr>
              <w:t>Out of scope for v1</w:t>
            </w:r>
          </w:p>
        </w:tc>
        <w:tc>
          <w:tcPr>
            <w:tcW w:type="dxa" w:w="7920"/>
            <w:vAlign w:val="top"/>
            <w:shd w:fill="0F766E"/>
          </w:tcPr>
          <w:p>
            <w:r>
              <w:rPr>
                <w:b/>
                <w:color w:val="FFFFFF"/>
                <w:sz w:val="17"/>
              </w:rPr>
            </w:r>
            <w:r>
              <w:rPr>
                <w:b/>
                <w:color w:val="FFFFFF"/>
                <w:sz w:val="17"/>
              </w:rPr>
              <w:t>Reason</w:t>
            </w:r>
          </w:p>
        </w:tc>
      </w:tr>
      <w:tr>
        <w:tc>
          <w:tcPr>
            <w:tcW w:type="dxa" w:w="2736"/>
            <w:vAlign w:val="top"/>
          </w:tcPr>
          <w:p>
            <w:r>
              <w:rPr>
                <w:sz w:val="17"/>
              </w:rPr>
            </w:r>
            <w:r>
              <w:rPr>
                <w:b w:val="0"/>
                <w:sz w:val="17"/>
              </w:rPr>
              <w:t>Real-time toll pricing by exact route</w:t>
            </w:r>
          </w:p>
        </w:tc>
        <w:tc>
          <w:tcPr>
            <w:tcW w:type="dxa" w:w="7920"/>
            <w:vAlign w:val="top"/>
          </w:tcPr>
          <w:p>
            <w:r>
              <w:rPr>
                <w:sz w:val="17"/>
              </w:rPr>
            </w:r>
            <w:r>
              <w:rPr>
                <w:b w:val="0"/>
                <w:sz w:val="17"/>
              </w:rPr>
              <w:t>Requires route engine and external toll data integration.</w:t>
            </w:r>
          </w:p>
        </w:tc>
      </w:tr>
      <w:tr>
        <w:tc>
          <w:tcPr>
            <w:tcW w:type="dxa" w:w="2736"/>
            <w:vAlign w:val="top"/>
          </w:tcPr>
          <w:p>
            <w:r>
              <w:rPr>
                <w:sz w:val="17"/>
              </w:rPr>
            </w:r>
            <w:r>
              <w:rPr>
                <w:b w:val="0"/>
                <w:sz w:val="17"/>
              </w:rPr>
              <w:t>Certified tax advice</w:t>
            </w:r>
          </w:p>
        </w:tc>
        <w:tc>
          <w:tcPr>
            <w:tcW w:type="dxa" w:w="7920"/>
            <w:vAlign w:val="top"/>
          </w:tcPr>
          <w:p>
            <w:r>
              <w:rPr>
                <w:sz w:val="17"/>
              </w:rPr>
            </w:r>
            <w:r>
              <w:rPr>
                <w:b w:val="0"/>
                <w:sz w:val="17"/>
              </w:rPr>
              <w:t>The tax layer is a business modelling assumption layer. It must show sources and dates but not replace tax advisory review.</w:t>
            </w:r>
          </w:p>
        </w:tc>
      </w:tr>
      <w:tr>
        <w:tc>
          <w:tcPr>
            <w:tcW w:type="dxa" w:w="2736"/>
            <w:vAlign w:val="top"/>
          </w:tcPr>
          <w:p>
            <w:r>
              <w:rPr>
                <w:sz w:val="17"/>
              </w:rPr>
            </w:r>
            <w:r>
              <w:rPr>
                <w:b w:val="0"/>
                <w:sz w:val="17"/>
              </w:rPr>
              <w:t>Fleet dispatch optimisation</w:t>
            </w:r>
          </w:p>
        </w:tc>
        <w:tc>
          <w:tcPr>
            <w:tcW w:type="dxa" w:w="7920"/>
            <w:vAlign w:val="top"/>
          </w:tcPr>
          <w:p>
            <w:r>
              <w:rPr>
                <w:sz w:val="17"/>
              </w:rPr>
            </w:r>
            <w:r>
              <w:rPr>
                <w:b w:val="0"/>
                <w:sz w:val="17"/>
              </w:rPr>
              <w:t>Operational dispatch is a future optimisation module, not part of the first implementation.</w:t>
            </w:r>
          </w:p>
        </w:tc>
      </w:tr>
      <w:tr>
        <w:tc>
          <w:tcPr>
            <w:tcW w:type="dxa" w:w="2736"/>
            <w:vAlign w:val="top"/>
          </w:tcPr>
          <w:p>
            <w:r>
              <w:rPr>
                <w:sz w:val="17"/>
              </w:rPr>
            </w:r>
            <w:r>
              <w:rPr>
                <w:b w:val="0"/>
                <w:sz w:val="17"/>
              </w:rPr>
              <w:t>Accounting ledger integration</w:t>
            </w:r>
          </w:p>
        </w:tc>
        <w:tc>
          <w:tcPr>
            <w:tcW w:type="dxa" w:w="7920"/>
            <w:vAlign w:val="top"/>
          </w:tcPr>
          <w:p>
            <w:r>
              <w:rPr>
                <w:sz w:val="17"/>
              </w:rPr>
            </w:r>
            <w:r>
              <w:rPr>
                <w:b w:val="0"/>
                <w:sz w:val="17"/>
              </w:rPr>
              <w:t>ERP/accounting integration can be added after stable calculation and history modules.</w:t>
            </w:r>
          </w:p>
        </w:tc>
      </w:tr>
      <w:tr>
        <w:tc>
          <w:tcPr>
            <w:tcW w:type="dxa" w:w="2736"/>
            <w:vAlign w:val="top"/>
          </w:tcPr>
          <w:p>
            <w:r>
              <w:rPr>
                <w:sz w:val="17"/>
              </w:rPr>
            </w:r>
            <w:r>
              <w:rPr>
                <w:b w:val="0"/>
                <w:sz w:val="17"/>
              </w:rPr>
              <w:t>Auction/marketplace cost logic</w:t>
            </w:r>
          </w:p>
        </w:tc>
        <w:tc>
          <w:tcPr>
            <w:tcW w:type="dxa" w:w="7920"/>
            <w:vAlign w:val="top"/>
          </w:tcPr>
          <w:p>
            <w:r>
              <w:rPr>
                <w:sz w:val="17"/>
              </w:rPr>
            </w:r>
            <w:r>
              <w:rPr>
                <w:b w:val="0"/>
                <w:sz w:val="17"/>
              </w:rPr>
              <w:t>Removed from the model. Customer pricing is derived from break-even and markup scenarios.</w:t>
            </w:r>
          </w:p>
        </w:tc>
      </w:tr>
    </w:tbl>
    <w:p>
      <w:pPr>
        <w:pStyle w:val="Heading1"/>
      </w:pPr>
      <w:r>
        <w:t>3. Workbook-to-Webapp Conversion Map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vAlign w:val="top"/>
            <w:shd w:fill="0F766E"/>
          </w:tcPr>
          <w:p>
            <w:r>
              <w:rPr>
                <w:b/>
                <w:color w:val="FFFFFF"/>
                <w:sz w:val="17"/>
              </w:rPr>
            </w:r>
            <w:r>
              <w:rPr>
                <w:b/>
                <w:color w:val="FFFFFF"/>
                <w:sz w:val="17"/>
              </w:rPr>
              <w:t>Workbook sheet</w:t>
            </w:r>
          </w:p>
        </w:tc>
        <w:tc>
          <w:tcPr>
            <w:tcW w:type="dxa" w:w="3024"/>
            <w:vAlign w:val="top"/>
            <w:shd w:fill="0F766E"/>
          </w:tcPr>
          <w:p>
            <w:r>
              <w:rPr>
                <w:b/>
                <w:color w:val="FFFFFF"/>
                <w:sz w:val="17"/>
              </w:rPr>
            </w:r>
            <w:r>
              <w:rPr>
                <w:b/>
                <w:color w:val="FFFFFF"/>
                <w:sz w:val="17"/>
              </w:rPr>
              <w:t>Webapp module</w:t>
            </w:r>
          </w:p>
        </w:tc>
        <w:tc>
          <w:tcPr>
            <w:tcW w:type="dxa" w:w="5184"/>
            <w:vAlign w:val="top"/>
            <w:shd w:fill="0F766E"/>
          </w:tcPr>
          <w:p>
            <w:r>
              <w:rPr>
                <w:b/>
                <w:color w:val="FFFFFF"/>
                <w:sz w:val="17"/>
              </w:rPr>
            </w:r>
            <w:r>
              <w:rPr>
                <w:b/>
                <w:color w:val="FFFFFF"/>
                <w:sz w:val="17"/>
              </w:rPr>
              <w:t>Implementation note</w:t>
            </w:r>
          </w:p>
        </w:tc>
      </w:tr>
      <w:tr>
        <w:tc>
          <w:tcPr>
            <w:tcW w:type="dxa" w:w="2448"/>
            <w:vAlign w:val="top"/>
          </w:tcPr>
          <w:p>
            <w:r>
              <w:rPr>
                <w:sz w:val="17"/>
              </w:rPr>
            </w:r>
            <w:r>
              <w:rPr>
                <w:b w:val="0"/>
                <w:sz w:val="17"/>
              </w:rPr>
              <w:t>Start Here</w:t>
            </w:r>
          </w:p>
        </w:tc>
        <w:tc>
          <w:tcPr>
            <w:tcW w:type="dxa" w:w="3024"/>
            <w:vAlign w:val="top"/>
          </w:tcPr>
          <w:p>
            <w:r>
              <w:rPr>
                <w:sz w:val="17"/>
              </w:rPr>
            </w:r>
            <w:r>
              <w:rPr>
                <w:b w:val="0"/>
                <w:sz w:val="17"/>
              </w:rPr>
              <w:t>Dashboard</w:t>
            </w:r>
          </w:p>
        </w:tc>
        <w:tc>
          <w:tcPr>
            <w:tcW w:type="dxa" w:w="5184"/>
            <w:vAlign w:val="top"/>
          </w:tcPr>
          <w:p>
            <w:r>
              <w:rPr>
                <w:sz w:val="17"/>
              </w:rPr>
            </w:r>
            <w:r>
              <w:rPr>
                <w:b w:val="0"/>
                <w:sz w:val="17"/>
              </w:rPr>
              <w:t>Guides the user through the workflow and displays current calculation summary.</w:t>
            </w:r>
          </w:p>
        </w:tc>
      </w:tr>
      <w:tr>
        <w:tc>
          <w:tcPr>
            <w:tcW w:type="dxa" w:w="2448"/>
            <w:vAlign w:val="top"/>
          </w:tcPr>
          <w:p>
            <w:r>
              <w:rPr>
                <w:sz w:val="17"/>
              </w:rPr>
            </w:r>
            <w:r>
              <w:rPr>
                <w:b w:val="0"/>
                <w:sz w:val="17"/>
              </w:rPr>
              <w:t>Company &amp; Tax Profile</w:t>
            </w:r>
          </w:p>
        </w:tc>
        <w:tc>
          <w:tcPr>
            <w:tcW w:type="dxa" w:w="3024"/>
            <w:vAlign w:val="top"/>
          </w:tcPr>
          <w:p>
            <w:r>
              <w:rPr>
                <w:sz w:val="17"/>
              </w:rPr>
            </w:r>
            <w:r>
              <w:rPr>
                <w:b w:val="0"/>
                <w:sz w:val="17"/>
              </w:rPr>
              <w:t>Company setup page plus tax profile service</w:t>
            </w:r>
          </w:p>
        </w:tc>
        <w:tc>
          <w:tcPr>
            <w:tcW w:type="dxa" w:w="5184"/>
            <w:vAlign w:val="top"/>
          </w:tcPr>
          <w:p>
            <w:r>
              <w:rPr>
                <w:sz w:val="17"/>
              </w:rPr>
            </w:r>
            <w:r>
              <w:rPr>
                <w:b w:val="0"/>
                <w:sz w:val="17"/>
              </w:rPr>
              <w:t>Country is the master field. Company type and tax defaults cascade from it.</w:t>
            </w:r>
          </w:p>
        </w:tc>
      </w:tr>
      <w:tr>
        <w:tc>
          <w:tcPr>
            <w:tcW w:type="dxa" w:w="2448"/>
            <w:vAlign w:val="top"/>
          </w:tcPr>
          <w:p>
            <w:r>
              <w:rPr>
                <w:sz w:val="17"/>
              </w:rPr>
            </w:r>
            <w:r>
              <w:rPr>
                <w:b w:val="0"/>
                <w:sz w:val="17"/>
              </w:rPr>
              <w:t>Inputs</w:t>
            </w:r>
          </w:p>
        </w:tc>
        <w:tc>
          <w:tcPr>
            <w:tcW w:type="dxa" w:w="3024"/>
            <w:vAlign w:val="top"/>
          </w:tcPr>
          <w:p>
            <w:r>
              <w:rPr>
                <w:sz w:val="17"/>
              </w:rPr>
            </w:r>
            <w:r>
              <w:rPr>
                <w:b w:val="0"/>
                <w:sz w:val="17"/>
              </w:rPr>
              <w:t>Transport inputs page</w:t>
            </w:r>
          </w:p>
        </w:tc>
        <w:tc>
          <w:tcPr>
            <w:tcW w:type="dxa" w:w="5184"/>
            <w:vAlign w:val="top"/>
          </w:tcPr>
          <w:p>
            <w:r>
              <w:rPr>
                <w:sz w:val="17"/>
              </w:rPr>
            </w:r>
            <w:r>
              <w:rPr>
                <w:b w:val="0"/>
                <w:sz w:val="17"/>
              </w:rPr>
              <w:t>Only operational assumptions are editable. Computed annual km remains read-only.</w:t>
            </w:r>
          </w:p>
        </w:tc>
      </w:tr>
      <w:tr>
        <w:tc>
          <w:tcPr>
            <w:tcW w:type="dxa" w:w="2448"/>
            <w:vAlign w:val="top"/>
          </w:tcPr>
          <w:p>
            <w:r>
              <w:rPr>
                <w:sz w:val="17"/>
              </w:rPr>
            </w:r>
            <w:r>
              <w:rPr>
                <w:b w:val="0"/>
                <w:sz w:val="17"/>
              </w:rPr>
              <w:t>Engine</w:t>
            </w:r>
          </w:p>
        </w:tc>
        <w:tc>
          <w:tcPr>
            <w:tcW w:type="dxa" w:w="3024"/>
            <w:vAlign w:val="top"/>
          </w:tcPr>
          <w:p>
            <w:r>
              <w:rPr>
                <w:sz w:val="17"/>
              </w:rPr>
            </w:r>
            <w:r>
              <w:rPr>
                <w:b w:val="0"/>
                <w:sz w:val="17"/>
              </w:rPr>
              <w:t>Backend calculation engine</w:t>
            </w:r>
          </w:p>
        </w:tc>
        <w:tc>
          <w:tcPr>
            <w:tcW w:type="dxa" w:w="5184"/>
            <w:vAlign w:val="top"/>
          </w:tcPr>
          <w:p>
            <w:r>
              <w:rPr>
                <w:sz w:val="17"/>
              </w:rPr>
            </w:r>
            <w:r>
              <w:rPr>
                <w:b w:val="0"/>
                <w:sz w:val="17"/>
              </w:rPr>
              <w:t>All formulas become backend services and unit-tested functions.</w:t>
            </w:r>
          </w:p>
        </w:tc>
      </w:tr>
      <w:tr>
        <w:tc>
          <w:tcPr>
            <w:tcW w:type="dxa" w:w="2448"/>
            <w:vAlign w:val="top"/>
          </w:tcPr>
          <w:p>
            <w:r>
              <w:rPr>
                <w:sz w:val="17"/>
              </w:rPr>
            </w:r>
            <w:r>
              <w:rPr>
                <w:b w:val="0"/>
                <w:sz w:val="17"/>
              </w:rPr>
              <w:t>Pricing Scenarios</w:t>
            </w:r>
          </w:p>
        </w:tc>
        <w:tc>
          <w:tcPr>
            <w:tcW w:type="dxa" w:w="3024"/>
            <w:vAlign w:val="top"/>
          </w:tcPr>
          <w:p>
            <w:r>
              <w:rPr>
                <w:sz w:val="17"/>
              </w:rPr>
            </w:r>
            <w:r>
              <w:rPr>
                <w:b w:val="0"/>
                <w:sz w:val="17"/>
              </w:rPr>
              <w:t>Pricing scenarios page and service</w:t>
            </w:r>
          </w:p>
        </w:tc>
        <w:tc>
          <w:tcPr>
            <w:tcW w:type="dxa" w:w="5184"/>
            <w:vAlign w:val="top"/>
          </w:tcPr>
          <w:p>
            <w:r>
              <w:rPr>
                <w:sz w:val="17"/>
              </w:rPr>
            </w:r>
            <w:r>
              <w:rPr>
                <w:b w:val="0"/>
                <w:sz w:val="17"/>
              </w:rPr>
              <w:t>Customer rates are generated from break-even and markup percentages.</w:t>
            </w:r>
          </w:p>
        </w:tc>
      </w:tr>
      <w:tr>
        <w:tc>
          <w:tcPr>
            <w:tcW w:type="dxa" w:w="2448"/>
            <w:vAlign w:val="top"/>
          </w:tcPr>
          <w:p>
            <w:r>
              <w:rPr>
                <w:sz w:val="17"/>
              </w:rPr>
            </w:r>
            <w:r>
              <w:rPr>
                <w:b w:val="0"/>
                <w:sz w:val="17"/>
              </w:rPr>
              <w:t>Sensitivity</w:t>
            </w:r>
          </w:p>
        </w:tc>
        <w:tc>
          <w:tcPr>
            <w:tcW w:type="dxa" w:w="3024"/>
            <w:vAlign w:val="top"/>
          </w:tcPr>
          <w:p>
            <w:r>
              <w:rPr>
                <w:sz w:val="17"/>
              </w:rPr>
            </w:r>
            <w:r>
              <w:rPr>
                <w:b w:val="0"/>
                <w:sz w:val="17"/>
              </w:rPr>
              <w:t>Sensitivity page and service</w:t>
            </w:r>
          </w:p>
        </w:tc>
        <w:tc>
          <w:tcPr>
            <w:tcW w:type="dxa" w:w="5184"/>
            <w:vAlign w:val="top"/>
          </w:tcPr>
          <w:p>
            <w:r>
              <w:rPr>
                <w:sz w:val="17"/>
              </w:rPr>
            </w:r>
            <w:r>
              <w:rPr>
                <w:b w:val="0"/>
                <w:sz w:val="17"/>
              </w:rPr>
              <w:t>Vehicle, load, payload, markup and rate matrices generated dynamically.</w:t>
            </w:r>
          </w:p>
        </w:tc>
      </w:tr>
      <w:tr>
        <w:tc>
          <w:tcPr>
            <w:tcW w:type="dxa" w:w="2448"/>
            <w:vAlign w:val="top"/>
          </w:tcPr>
          <w:p>
            <w:r>
              <w:rPr>
                <w:sz w:val="17"/>
              </w:rPr>
            </w:r>
            <w:r>
              <w:rPr>
                <w:b w:val="0"/>
                <w:sz w:val="17"/>
              </w:rPr>
              <w:t>Vehicle Classes</w:t>
            </w:r>
          </w:p>
        </w:tc>
        <w:tc>
          <w:tcPr>
            <w:tcW w:type="dxa" w:w="3024"/>
            <w:vAlign w:val="top"/>
          </w:tcPr>
          <w:p>
            <w:r>
              <w:rPr>
                <w:sz w:val="17"/>
              </w:rPr>
            </w:r>
            <w:r>
              <w:rPr>
                <w:b w:val="0"/>
                <w:sz w:val="17"/>
              </w:rPr>
              <w:t>Reference data and vehicle-class admin module</w:t>
            </w:r>
          </w:p>
        </w:tc>
        <w:tc>
          <w:tcPr>
            <w:tcW w:type="dxa" w:w="5184"/>
            <w:vAlign w:val="top"/>
          </w:tcPr>
          <w:p>
            <w:r>
              <w:rPr>
                <w:sz w:val="17"/>
              </w:rPr>
            </w:r>
            <w:r>
              <w:rPr>
                <w:b w:val="0"/>
                <w:sz w:val="17"/>
              </w:rPr>
              <w:t>Van-to-truck payload and fuel assumptions.</w:t>
            </w:r>
          </w:p>
        </w:tc>
      </w:tr>
      <w:tr>
        <w:tc>
          <w:tcPr>
            <w:tcW w:type="dxa" w:w="2448"/>
            <w:vAlign w:val="top"/>
          </w:tcPr>
          <w:p>
            <w:r>
              <w:rPr>
                <w:sz w:val="17"/>
              </w:rPr>
            </w:r>
            <w:r>
              <w:rPr>
                <w:b w:val="0"/>
                <w:sz w:val="17"/>
              </w:rPr>
              <w:t>Tax Rules</w:t>
            </w:r>
          </w:p>
        </w:tc>
        <w:tc>
          <w:tcPr>
            <w:tcW w:type="dxa" w:w="3024"/>
            <w:vAlign w:val="top"/>
          </w:tcPr>
          <w:p>
            <w:r>
              <w:rPr>
                <w:sz w:val="17"/>
              </w:rPr>
            </w:r>
            <w:r>
              <w:rPr>
                <w:b w:val="0"/>
                <w:sz w:val="17"/>
              </w:rPr>
              <w:t>Tax rules reference table and admin module</w:t>
            </w:r>
          </w:p>
        </w:tc>
        <w:tc>
          <w:tcPr>
            <w:tcW w:type="dxa" w:w="5184"/>
            <w:vAlign w:val="top"/>
          </w:tcPr>
          <w:p>
            <w:r>
              <w:rPr>
                <w:sz w:val="17"/>
              </w:rPr>
            </w:r>
            <w:r>
              <w:rPr>
                <w:b w:val="0"/>
                <w:sz w:val="17"/>
              </w:rPr>
              <w:t>Includes source, source date, valid-from and valid-to governance.</w:t>
            </w:r>
          </w:p>
        </w:tc>
      </w:tr>
      <w:tr>
        <w:tc>
          <w:tcPr>
            <w:tcW w:type="dxa" w:w="2448"/>
            <w:vAlign w:val="top"/>
          </w:tcPr>
          <w:p>
            <w:r>
              <w:rPr>
                <w:sz w:val="17"/>
              </w:rPr>
            </w:r>
            <w:r>
              <w:rPr>
                <w:b w:val="0"/>
                <w:sz w:val="17"/>
              </w:rPr>
              <w:t>Dropdown Helper / Cascade Lists</w:t>
            </w:r>
          </w:p>
        </w:tc>
        <w:tc>
          <w:tcPr>
            <w:tcW w:type="dxa" w:w="3024"/>
            <w:vAlign w:val="top"/>
          </w:tcPr>
          <w:p>
            <w:r>
              <w:rPr>
                <w:sz w:val="17"/>
              </w:rPr>
            </w:r>
            <w:r>
              <w:rPr>
                <w:b w:val="0"/>
                <w:sz w:val="17"/>
              </w:rPr>
              <w:t>API-driven dropdowns</w:t>
            </w:r>
          </w:p>
        </w:tc>
        <w:tc>
          <w:tcPr>
            <w:tcW w:type="dxa" w:w="5184"/>
            <w:vAlign w:val="top"/>
          </w:tcPr>
          <w:p>
            <w:r>
              <w:rPr>
                <w:sz w:val="17"/>
              </w:rPr>
            </w:r>
            <w:r>
              <w:rPr>
                <w:b w:val="0"/>
                <w:sz w:val="17"/>
              </w:rPr>
              <w:t>Excel helper logic becomes REST endpoints and frontend state.</w:t>
            </w:r>
          </w:p>
        </w:tc>
      </w:tr>
    </w:tbl>
    <w:p>
      <w:pPr>
        <w:pStyle w:val="Heading1"/>
      </w:pPr>
      <w:r>
        <w:t>4. User Journey and Filling Flow</w:t>
      </w:r>
    </w:p>
    <w:p>
      <w:r>
        <w:t>The application must be designed around the same filling sequence as the improved workbook. The user should never need to understand the backend calculation structure before entering assumptions.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720"/>
            <w:vAlign w:val="top"/>
            <w:shd w:fill="0F766E"/>
          </w:tcPr>
          <w:p>
            <w:r>
              <w:rPr>
                <w:b/>
                <w:color w:val="FFFFFF"/>
                <w:sz w:val="17"/>
              </w:rPr>
            </w:r>
            <w:r>
              <w:rPr>
                <w:b/>
                <w:color w:val="FFFFFF"/>
                <w:sz w:val="17"/>
              </w:rPr>
              <w:t>Step</w:t>
            </w:r>
          </w:p>
        </w:tc>
        <w:tc>
          <w:tcPr>
            <w:tcW w:type="dxa" w:w="2304"/>
            <w:vAlign w:val="top"/>
            <w:shd w:fill="0F766E"/>
          </w:tcPr>
          <w:p>
            <w:r>
              <w:rPr>
                <w:b/>
                <w:color w:val="FFFFFF"/>
                <w:sz w:val="17"/>
              </w:rPr>
            </w:r>
            <w:r>
              <w:rPr>
                <w:b/>
                <w:color w:val="FFFFFF"/>
                <w:sz w:val="17"/>
              </w:rPr>
              <w:t>Page</w:t>
            </w:r>
          </w:p>
        </w:tc>
        <w:tc>
          <w:tcPr>
            <w:tcW w:type="dxa" w:w="3744"/>
            <w:vAlign w:val="top"/>
            <w:shd w:fill="0F766E"/>
          </w:tcPr>
          <w:p>
            <w:r>
              <w:rPr>
                <w:b/>
                <w:color w:val="FFFFFF"/>
                <w:sz w:val="17"/>
              </w:rPr>
            </w:r>
            <w:r>
              <w:rPr>
                <w:b/>
                <w:color w:val="FFFFFF"/>
                <w:sz w:val="17"/>
              </w:rPr>
              <w:t>User action</w:t>
            </w:r>
          </w:p>
        </w:tc>
        <w:tc>
          <w:tcPr>
            <w:tcW w:type="dxa" w:w="3888"/>
            <w:vAlign w:val="top"/>
            <w:shd w:fill="0F766E"/>
          </w:tcPr>
          <w:p>
            <w:r>
              <w:rPr>
                <w:b/>
                <w:color w:val="FFFFFF"/>
                <w:sz w:val="17"/>
              </w:rPr>
            </w:r>
            <w:r>
              <w:rPr>
                <w:b/>
                <w:color w:val="FFFFFF"/>
                <w:sz w:val="17"/>
              </w:rPr>
              <w:t>System action</w:t>
            </w:r>
          </w:p>
        </w:tc>
      </w:tr>
      <w:tr>
        <w:tc>
          <w:tcPr>
            <w:tcW w:type="dxa" w:w="720"/>
            <w:vAlign w:val="top"/>
          </w:tcPr>
          <w:p>
            <w:r>
              <w:rPr>
                <w:sz w:val="17"/>
              </w:rPr>
            </w:r>
            <w:r>
              <w:rPr>
                <w:b w:val="0"/>
                <w:sz w:val="17"/>
              </w:rPr>
              <w:t>1</w:t>
            </w:r>
          </w:p>
        </w:tc>
        <w:tc>
          <w:tcPr>
            <w:tcW w:type="dxa" w:w="2304"/>
            <w:vAlign w:val="top"/>
          </w:tcPr>
          <w:p>
            <w:r>
              <w:rPr>
                <w:sz w:val="17"/>
              </w:rPr>
            </w:r>
            <w:r>
              <w:rPr>
                <w:b w:val="0"/>
                <w:sz w:val="17"/>
              </w:rPr>
              <w:t>Dashboard / Start Here</w:t>
            </w:r>
          </w:p>
        </w:tc>
        <w:tc>
          <w:tcPr>
            <w:tcW w:type="dxa" w:w="3744"/>
            <w:vAlign w:val="top"/>
          </w:tcPr>
          <w:p>
            <w:r>
              <w:rPr>
                <w:sz w:val="17"/>
              </w:rPr>
            </w:r>
            <w:r>
              <w:rPr>
                <w:b w:val="0"/>
                <w:sz w:val="17"/>
              </w:rPr>
              <w:t>Start or open a calculation run.</w:t>
            </w:r>
          </w:p>
        </w:tc>
        <w:tc>
          <w:tcPr>
            <w:tcW w:type="dxa" w:w="3888"/>
            <w:vAlign w:val="top"/>
          </w:tcPr>
          <w:p>
            <w:r>
              <w:rPr>
                <w:sz w:val="17"/>
              </w:rPr>
            </w:r>
            <w:r>
              <w:rPr>
                <w:b w:val="0"/>
                <w:sz w:val="17"/>
              </w:rPr>
              <w:t>Shows workflow status and summary indicators.</w:t>
            </w:r>
          </w:p>
        </w:tc>
      </w:tr>
      <w:tr>
        <w:tc>
          <w:tcPr>
            <w:tcW w:type="dxa" w:w="720"/>
            <w:vAlign w:val="top"/>
          </w:tcPr>
          <w:p>
            <w:r>
              <w:rPr>
                <w:sz w:val="17"/>
              </w:rPr>
            </w:r>
            <w:r>
              <w:rPr>
                <w:b w:val="0"/>
                <w:sz w:val="17"/>
              </w:rPr>
              <w:t>2</w:t>
            </w:r>
          </w:p>
        </w:tc>
        <w:tc>
          <w:tcPr>
            <w:tcW w:type="dxa" w:w="2304"/>
            <w:vAlign w:val="top"/>
          </w:tcPr>
          <w:p>
            <w:r>
              <w:rPr>
                <w:sz w:val="17"/>
              </w:rPr>
            </w:r>
            <w:r>
              <w:rPr>
                <w:b w:val="0"/>
                <w:sz w:val="17"/>
              </w:rPr>
              <w:t>Company &amp; Tax Profile</w:t>
            </w:r>
          </w:p>
        </w:tc>
        <w:tc>
          <w:tcPr>
            <w:tcW w:type="dxa" w:w="3744"/>
            <w:vAlign w:val="top"/>
          </w:tcPr>
          <w:p>
            <w:r>
              <w:rPr>
                <w:sz w:val="17"/>
              </w:rPr>
            </w:r>
            <w:r>
              <w:rPr>
                <w:b w:val="0"/>
                <w:sz w:val="17"/>
              </w:rPr>
              <w:t>Select country/jurisdiction.</w:t>
            </w:r>
          </w:p>
        </w:tc>
        <w:tc>
          <w:tcPr>
            <w:tcW w:type="dxa" w:w="3888"/>
            <w:vAlign w:val="top"/>
          </w:tcPr>
          <w:p>
            <w:r>
              <w:rPr>
                <w:sz w:val="17"/>
              </w:rPr>
            </w:r>
            <w:r>
              <w:rPr>
                <w:b w:val="0"/>
                <w:sz w:val="17"/>
              </w:rPr>
              <w:t>Loads available company types and country defaults.</w:t>
            </w:r>
          </w:p>
        </w:tc>
      </w:tr>
      <w:tr>
        <w:tc>
          <w:tcPr>
            <w:tcW w:type="dxa" w:w="720"/>
            <w:vAlign w:val="top"/>
          </w:tcPr>
          <w:p>
            <w:r>
              <w:rPr>
                <w:sz w:val="17"/>
              </w:rPr>
            </w:r>
            <w:r>
              <w:rPr>
                <w:b w:val="0"/>
                <w:sz w:val="17"/>
              </w:rPr>
              <w:t>3</w:t>
            </w:r>
          </w:p>
        </w:tc>
        <w:tc>
          <w:tcPr>
            <w:tcW w:type="dxa" w:w="2304"/>
            <w:vAlign w:val="top"/>
          </w:tcPr>
          <w:p>
            <w:r>
              <w:rPr>
                <w:sz w:val="17"/>
              </w:rPr>
            </w:r>
            <w:r>
              <w:rPr>
                <w:b w:val="0"/>
                <w:sz w:val="17"/>
              </w:rPr>
              <w:t>Company &amp; Tax Profile</w:t>
            </w:r>
          </w:p>
        </w:tc>
        <w:tc>
          <w:tcPr>
            <w:tcW w:type="dxa" w:w="3744"/>
            <w:vAlign w:val="top"/>
          </w:tcPr>
          <w:p>
            <w:r>
              <w:rPr>
                <w:sz w:val="17"/>
              </w:rPr>
            </w:r>
            <w:r>
              <w:rPr>
                <w:b w:val="0"/>
                <w:sz w:val="17"/>
              </w:rPr>
              <w:t>Select company type and business model.</w:t>
            </w:r>
          </w:p>
        </w:tc>
        <w:tc>
          <w:tcPr>
            <w:tcW w:type="dxa" w:w="3888"/>
            <w:vAlign w:val="top"/>
          </w:tcPr>
          <w:p>
            <w:r>
              <w:rPr>
                <w:sz w:val="17"/>
              </w:rPr>
            </w:r>
            <w:r>
              <w:rPr>
                <w:b w:val="0"/>
                <w:sz w:val="17"/>
              </w:rPr>
              <w:t>Loads VAT, business tax, employer contribution, vehicle tax default and notes.</w:t>
            </w:r>
          </w:p>
        </w:tc>
      </w:tr>
      <w:tr>
        <w:tc>
          <w:tcPr>
            <w:tcW w:type="dxa" w:w="720"/>
            <w:vAlign w:val="top"/>
          </w:tcPr>
          <w:p>
            <w:r>
              <w:rPr>
                <w:sz w:val="17"/>
              </w:rPr>
            </w:r>
            <w:r>
              <w:rPr>
                <w:b w:val="0"/>
                <w:sz w:val="17"/>
              </w:rPr>
              <w:t>4</w:t>
            </w:r>
          </w:p>
        </w:tc>
        <w:tc>
          <w:tcPr>
            <w:tcW w:type="dxa" w:w="2304"/>
            <w:vAlign w:val="top"/>
          </w:tcPr>
          <w:p>
            <w:r>
              <w:rPr>
                <w:sz w:val="17"/>
              </w:rPr>
            </w:r>
            <w:r>
              <w:rPr>
                <w:b w:val="0"/>
                <w:sz w:val="17"/>
              </w:rPr>
              <w:t>Transport Inputs</w:t>
            </w:r>
          </w:p>
        </w:tc>
        <w:tc>
          <w:tcPr>
            <w:tcW w:type="dxa" w:w="3744"/>
            <w:vAlign w:val="top"/>
          </w:tcPr>
          <w:p>
            <w:r>
              <w:rPr>
                <w:sz w:val="17"/>
              </w:rPr>
            </w:r>
            <w:r>
              <w:rPr>
                <w:b w:val="0"/>
                <w:sz w:val="17"/>
              </w:rPr>
              <w:t>Enter daily km, operating days, load factor, payload, costs and salary assumptions.</w:t>
            </w:r>
          </w:p>
        </w:tc>
        <w:tc>
          <w:tcPr>
            <w:tcW w:type="dxa" w:w="3888"/>
            <w:vAlign w:val="top"/>
          </w:tcPr>
          <w:p>
            <w:r>
              <w:rPr>
                <w:sz w:val="17"/>
              </w:rPr>
            </w:r>
            <w:r>
              <w:rPr>
                <w:b w:val="0"/>
                <w:sz w:val="17"/>
              </w:rPr>
              <w:t>Computes annual km, loaded km and effective payload preview.</w:t>
            </w:r>
          </w:p>
        </w:tc>
      </w:tr>
      <w:tr>
        <w:tc>
          <w:tcPr>
            <w:tcW w:type="dxa" w:w="720"/>
            <w:vAlign w:val="top"/>
          </w:tcPr>
          <w:p>
            <w:r>
              <w:rPr>
                <w:sz w:val="17"/>
              </w:rPr>
            </w:r>
            <w:r>
              <w:rPr>
                <w:b w:val="0"/>
                <w:sz w:val="17"/>
              </w:rPr>
              <w:t>5</w:t>
            </w:r>
          </w:p>
        </w:tc>
        <w:tc>
          <w:tcPr>
            <w:tcW w:type="dxa" w:w="2304"/>
            <w:vAlign w:val="top"/>
          </w:tcPr>
          <w:p>
            <w:r>
              <w:rPr>
                <w:sz w:val="17"/>
              </w:rPr>
            </w:r>
            <w:r>
              <w:rPr>
                <w:b w:val="0"/>
                <w:sz w:val="17"/>
              </w:rPr>
              <w:t>Break-even Results</w:t>
            </w:r>
          </w:p>
        </w:tc>
        <w:tc>
          <w:tcPr>
            <w:tcW w:type="dxa" w:w="3744"/>
            <w:vAlign w:val="top"/>
          </w:tcPr>
          <w:p>
            <w:r>
              <w:rPr>
                <w:sz w:val="17"/>
              </w:rPr>
            </w:r>
            <w:r>
              <w:rPr>
                <w:b w:val="0"/>
                <w:sz w:val="17"/>
              </w:rPr>
              <w:t>Review calculated cost structure and break-even.</w:t>
            </w:r>
          </w:p>
        </w:tc>
        <w:tc>
          <w:tcPr>
            <w:tcW w:type="dxa" w:w="3888"/>
            <w:vAlign w:val="top"/>
          </w:tcPr>
          <w:p>
            <w:r>
              <w:rPr>
                <w:sz w:val="17"/>
              </w:rPr>
            </w:r>
            <w:r>
              <w:rPr>
                <w:b w:val="0"/>
                <w:sz w:val="17"/>
              </w:rPr>
              <w:t>Displays formulas and cost breakdown read-only.</w:t>
            </w:r>
          </w:p>
        </w:tc>
      </w:tr>
      <w:tr>
        <w:tc>
          <w:tcPr>
            <w:tcW w:type="dxa" w:w="720"/>
            <w:vAlign w:val="top"/>
          </w:tcPr>
          <w:p>
            <w:r>
              <w:rPr>
                <w:sz w:val="17"/>
              </w:rPr>
            </w:r>
            <w:r>
              <w:rPr>
                <w:b w:val="0"/>
                <w:sz w:val="17"/>
              </w:rPr>
              <w:t>6</w:t>
            </w:r>
          </w:p>
        </w:tc>
        <w:tc>
          <w:tcPr>
            <w:tcW w:type="dxa" w:w="2304"/>
            <w:vAlign w:val="top"/>
          </w:tcPr>
          <w:p>
            <w:r>
              <w:rPr>
                <w:sz w:val="17"/>
              </w:rPr>
            </w:r>
            <w:r>
              <w:rPr>
                <w:b w:val="0"/>
                <w:sz w:val="17"/>
              </w:rPr>
              <w:t>Pricing Scenarios</w:t>
            </w:r>
          </w:p>
        </w:tc>
        <w:tc>
          <w:tcPr>
            <w:tcW w:type="dxa" w:w="3744"/>
            <w:vAlign w:val="top"/>
          </w:tcPr>
          <w:p>
            <w:r>
              <w:rPr>
                <w:sz w:val="17"/>
              </w:rPr>
            </w:r>
            <w:r>
              <w:rPr>
                <w:b w:val="0"/>
                <w:sz w:val="17"/>
              </w:rPr>
              <w:t>Select markup scenario.</w:t>
            </w:r>
          </w:p>
        </w:tc>
        <w:tc>
          <w:tcPr>
            <w:tcW w:type="dxa" w:w="3888"/>
            <w:vAlign w:val="top"/>
          </w:tcPr>
          <w:p>
            <w:r>
              <w:rPr>
                <w:sz w:val="17"/>
              </w:rPr>
            </w:r>
            <w:r>
              <w:rPr>
                <w:b w:val="0"/>
                <w:sz w:val="17"/>
              </w:rPr>
              <w:t>Calculates customer rate, VAT invoice value, EBIT and after-tax margin.</w:t>
            </w:r>
          </w:p>
        </w:tc>
      </w:tr>
      <w:tr>
        <w:tc>
          <w:tcPr>
            <w:tcW w:type="dxa" w:w="720"/>
            <w:vAlign w:val="top"/>
          </w:tcPr>
          <w:p>
            <w:r>
              <w:rPr>
                <w:sz w:val="17"/>
              </w:rPr>
            </w:r>
            <w:r>
              <w:rPr>
                <w:b w:val="0"/>
                <w:sz w:val="17"/>
              </w:rPr>
              <w:t>7</w:t>
            </w:r>
          </w:p>
        </w:tc>
        <w:tc>
          <w:tcPr>
            <w:tcW w:type="dxa" w:w="2304"/>
            <w:vAlign w:val="top"/>
          </w:tcPr>
          <w:p>
            <w:r>
              <w:rPr>
                <w:sz w:val="17"/>
              </w:rPr>
            </w:r>
            <w:r>
              <w:rPr>
                <w:b w:val="0"/>
                <w:sz w:val="17"/>
              </w:rPr>
              <w:t>Sensitivity</w:t>
            </w:r>
          </w:p>
        </w:tc>
        <w:tc>
          <w:tcPr>
            <w:tcW w:type="dxa" w:w="3744"/>
            <w:vAlign w:val="top"/>
          </w:tcPr>
          <w:p>
            <w:r>
              <w:rPr>
                <w:sz w:val="17"/>
              </w:rPr>
            </w:r>
            <w:r>
              <w:rPr>
                <w:b w:val="0"/>
                <w:sz w:val="17"/>
              </w:rPr>
              <w:t>Compare vehicle class, payload, load factor and markup sensitivity.</w:t>
            </w:r>
          </w:p>
        </w:tc>
        <w:tc>
          <w:tcPr>
            <w:tcW w:type="dxa" w:w="3888"/>
            <w:vAlign w:val="top"/>
          </w:tcPr>
          <w:p>
            <w:r>
              <w:rPr>
                <w:sz w:val="17"/>
              </w:rPr>
            </w:r>
            <w:r>
              <w:rPr>
                <w:b w:val="0"/>
                <w:sz w:val="17"/>
              </w:rPr>
              <w:t>Generates charts and decision tables.</w:t>
            </w:r>
          </w:p>
        </w:tc>
      </w:tr>
      <w:tr>
        <w:tc>
          <w:tcPr>
            <w:tcW w:type="dxa" w:w="720"/>
            <w:vAlign w:val="top"/>
          </w:tcPr>
          <w:p>
            <w:r>
              <w:rPr>
                <w:sz w:val="17"/>
              </w:rPr>
            </w:r>
            <w:r>
              <w:rPr>
                <w:b w:val="0"/>
                <w:sz w:val="17"/>
              </w:rPr>
              <w:t>8</w:t>
            </w:r>
          </w:p>
        </w:tc>
        <w:tc>
          <w:tcPr>
            <w:tcW w:type="dxa" w:w="2304"/>
            <w:vAlign w:val="top"/>
          </w:tcPr>
          <w:p>
            <w:r>
              <w:rPr>
                <w:sz w:val="17"/>
              </w:rPr>
            </w:r>
            <w:r>
              <w:rPr>
                <w:b w:val="0"/>
                <w:sz w:val="17"/>
              </w:rPr>
              <w:t>History</w:t>
            </w:r>
          </w:p>
        </w:tc>
        <w:tc>
          <w:tcPr>
            <w:tcW w:type="dxa" w:w="3744"/>
            <w:vAlign w:val="top"/>
          </w:tcPr>
          <w:p>
            <w:r>
              <w:rPr>
                <w:sz w:val="17"/>
              </w:rPr>
            </w:r>
            <w:r>
              <w:rPr>
                <w:b w:val="0"/>
                <w:sz w:val="17"/>
              </w:rPr>
              <w:t>Save, duplicate, compare or export runs.</w:t>
            </w:r>
          </w:p>
        </w:tc>
        <w:tc>
          <w:tcPr>
            <w:tcW w:type="dxa" w:w="3888"/>
            <w:vAlign w:val="top"/>
          </w:tcPr>
          <w:p>
            <w:r>
              <w:rPr>
                <w:sz w:val="17"/>
              </w:rPr>
            </w:r>
            <w:r>
              <w:rPr>
                <w:b w:val="0"/>
                <w:sz w:val="17"/>
              </w:rPr>
              <w:t>Stores immutable input and output snapshots.</w:t>
            </w:r>
          </w:p>
        </w:tc>
      </w:tr>
    </w:tbl>
    <w:p>
      <w:pPr>
        <w:pStyle w:val="Heading1"/>
      </w:pPr>
      <w:r>
        <w:t>5. Functional Modules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2592"/>
            <w:vAlign w:val="top"/>
            <w:shd w:fill="0F766E"/>
          </w:tcPr>
          <w:p>
            <w:r>
              <w:rPr>
                <w:b/>
                <w:color w:val="FFFFFF"/>
                <w:sz w:val="17"/>
              </w:rPr>
            </w:r>
            <w:r>
              <w:rPr>
                <w:b/>
                <w:color w:val="FFFFFF"/>
                <w:sz w:val="17"/>
              </w:rPr>
              <w:t>Module</w:t>
            </w:r>
          </w:p>
        </w:tc>
        <w:tc>
          <w:tcPr>
            <w:tcW w:type="dxa" w:w="8064"/>
            <w:vAlign w:val="top"/>
            <w:shd w:fill="0F766E"/>
          </w:tcPr>
          <w:p>
            <w:r>
              <w:rPr>
                <w:b/>
                <w:color w:val="FFFFFF"/>
                <w:sz w:val="17"/>
              </w:rPr>
            </w:r>
            <w:r>
              <w:rPr>
                <w:b/>
                <w:color w:val="FFFFFF"/>
                <w:sz w:val="17"/>
              </w:rPr>
              <w:t>Business responsibility</w:t>
            </w:r>
          </w:p>
        </w:tc>
      </w:tr>
      <w:tr>
        <w:tc>
          <w:tcPr>
            <w:tcW w:type="dxa" w:w="2592"/>
            <w:vAlign w:val="top"/>
          </w:tcPr>
          <w:p>
            <w:r>
              <w:rPr>
                <w:sz w:val="17"/>
              </w:rPr>
            </w:r>
            <w:r>
              <w:rPr>
                <w:b w:val="0"/>
                <w:sz w:val="17"/>
              </w:rPr>
              <w:t>Dashboard / Start Here</w:t>
            </w:r>
          </w:p>
        </w:tc>
        <w:tc>
          <w:tcPr>
            <w:tcW w:type="dxa" w:w="8064"/>
            <w:vAlign w:val="top"/>
          </w:tcPr>
          <w:p>
            <w:r>
              <w:rPr>
                <w:sz w:val="17"/>
              </w:rPr>
            </w:r>
            <w:r>
              <w:rPr>
                <w:b w:val="0"/>
                <w:sz w:val="17"/>
              </w:rPr>
              <w:t>Workflow overview, current model summary, quick actions, status indicators.</w:t>
            </w:r>
          </w:p>
        </w:tc>
      </w:tr>
      <w:tr>
        <w:tc>
          <w:tcPr>
            <w:tcW w:type="dxa" w:w="2592"/>
            <w:vAlign w:val="top"/>
          </w:tcPr>
          <w:p>
            <w:r>
              <w:rPr>
                <w:sz w:val="17"/>
              </w:rPr>
            </w:r>
            <w:r>
              <w:rPr>
                <w:b w:val="0"/>
                <w:sz w:val="17"/>
              </w:rPr>
              <w:t>Company &amp; Tax Profile</w:t>
            </w:r>
          </w:p>
        </w:tc>
        <w:tc>
          <w:tcPr>
            <w:tcW w:type="dxa" w:w="8064"/>
            <w:vAlign w:val="top"/>
          </w:tcPr>
          <w:p>
            <w:r>
              <w:rPr>
                <w:sz w:val="17"/>
              </w:rPr>
            </w:r>
            <w:r>
              <w:rPr>
                <w:b w:val="0"/>
                <w:sz w:val="17"/>
              </w:rPr>
              <w:t>Country/company/business-model cascade and read-only tax default view.</w:t>
            </w:r>
          </w:p>
        </w:tc>
      </w:tr>
      <w:tr>
        <w:tc>
          <w:tcPr>
            <w:tcW w:type="dxa" w:w="2592"/>
            <w:vAlign w:val="top"/>
          </w:tcPr>
          <w:p>
            <w:r>
              <w:rPr>
                <w:sz w:val="17"/>
              </w:rPr>
            </w:r>
            <w:r>
              <w:rPr>
                <w:b w:val="0"/>
                <w:sz w:val="17"/>
              </w:rPr>
              <w:t>Transport Inputs</w:t>
            </w:r>
          </w:p>
        </w:tc>
        <w:tc>
          <w:tcPr>
            <w:tcW w:type="dxa" w:w="8064"/>
            <w:vAlign w:val="top"/>
          </w:tcPr>
          <w:p>
            <w:r>
              <w:rPr>
                <w:sz w:val="17"/>
              </w:rPr>
            </w:r>
            <w:r>
              <w:rPr>
                <w:b w:val="0"/>
                <w:sz w:val="17"/>
              </w:rPr>
              <w:t>Operational input form grouped by activity, vehicle, variable cost, driver and overhead.</w:t>
            </w:r>
          </w:p>
        </w:tc>
      </w:tr>
      <w:tr>
        <w:tc>
          <w:tcPr>
            <w:tcW w:type="dxa" w:w="2592"/>
            <w:vAlign w:val="top"/>
          </w:tcPr>
          <w:p>
            <w:r>
              <w:rPr>
                <w:sz w:val="17"/>
              </w:rPr>
            </w:r>
            <w:r>
              <w:rPr>
                <w:b w:val="0"/>
                <w:sz w:val="17"/>
              </w:rPr>
              <w:t>Break-even Results</w:t>
            </w:r>
          </w:p>
        </w:tc>
        <w:tc>
          <w:tcPr>
            <w:tcW w:type="dxa" w:w="8064"/>
            <w:vAlign w:val="top"/>
          </w:tcPr>
          <w:p>
            <w:r>
              <w:rPr>
                <w:sz w:val="17"/>
              </w:rPr>
            </w:r>
            <w:r>
              <w:rPr>
                <w:b w:val="0"/>
                <w:sz w:val="17"/>
              </w:rPr>
              <w:t>Core engine output: total cost, break-even per loaded km and per tonne-km, cost breakdown.</w:t>
            </w:r>
          </w:p>
        </w:tc>
      </w:tr>
      <w:tr>
        <w:tc>
          <w:tcPr>
            <w:tcW w:type="dxa" w:w="2592"/>
            <w:vAlign w:val="top"/>
          </w:tcPr>
          <w:p>
            <w:r>
              <w:rPr>
                <w:sz w:val="17"/>
              </w:rPr>
            </w:r>
            <w:r>
              <w:rPr>
                <w:b w:val="0"/>
                <w:sz w:val="17"/>
              </w:rPr>
              <w:t>Pricing Scenarios</w:t>
            </w:r>
          </w:p>
        </w:tc>
        <w:tc>
          <w:tcPr>
            <w:tcW w:type="dxa" w:w="8064"/>
            <w:vAlign w:val="top"/>
          </w:tcPr>
          <w:p>
            <w:r>
              <w:rPr>
                <w:sz w:val="17"/>
              </w:rPr>
            </w:r>
            <w:r>
              <w:rPr>
                <w:b w:val="0"/>
                <w:sz w:val="17"/>
              </w:rPr>
              <w:t>Markup matrix over break-even, VAT invoice view and after-tax profit view.</w:t>
            </w:r>
          </w:p>
        </w:tc>
      </w:tr>
      <w:tr>
        <w:tc>
          <w:tcPr>
            <w:tcW w:type="dxa" w:w="2592"/>
            <w:vAlign w:val="top"/>
          </w:tcPr>
          <w:p>
            <w:r>
              <w:rPr>
                <w:sz w:val="17"/>
              </w:rPr>
            </w:r>
            <w:r>
              <w:rPr>
                <w:b w:val="0"/>
                <w:sz w:val="17"/>
              </w:rPr>
              <w:t>Sensitivity</w:t>
            </w:r>
          </w:p>
        </w:tc>
        <w:tc>
          <w:tcPr>
            <w:tcW w:type="dxa" w:w="8064"/>
            <w:vAlign w:val="top"/>
          </w:tcPr>
          <w:p>
            <w:r>
              <w:rPr>
                <w:sz w:val="17"/>
              </w:rPr>
            </w:r>
            <w:r>
              <w:rPr>
                <w:b w:val="0"/>
                <w:sz w:val="17"/>
              </w:rPr>
              <w:t>Vehicle class, payload utilisation, load factor, fuel and markup sensitivity charts.</w:t>
            </w:r>
          </w:p>
        </w:tc>
      </w:tr>
      <w:tr>
        <w:tc>
          <w:tcPr>
            <w:tcW w:type="dxa" w:w="2592"/>
            <w:vAlign w:val="top"/>
          </w:tcPr>
          <w:p>
            <w:r>
              <w:rPr>
                <w:sz w:val="17"/>
              </w:rPr>
            </w:r>
            <w:r>
              <w:rPr>
                <w:b w:val="0"/>
                <w:sz w:val="17"/>
              </w:rPr>
              <w:t>Vehicle Classes</w:t>
            </w:r>
          </w:p>
        </w:tc>
        <w:tc>
          <w:tcPr>
            <w:tcW w:type="dxa" w:w="8064"/>
            <w:vAlign w:val="top"/>
          </w:tcPr>
          <w:p>
            <w:r>
              <w:rPr>
                <w:sz w:val="17"/>
              </w:rPr>
            </w:r>
            <w:r>
              <w:rPr>
                <w:b w:val="0"/>
                <w:sz w:val="17"/>
              </w:rPr>
              <w:t>Reference and future admin page for vehicle capability assumptions.</w:t>
            </w:r>
          </w:p>
        </w:tc>
      </w:tr>
      <w:tr>
        <w:tc>
          <w:tcPr>
            <w:tcW w:type="dxa" w:w="2592"/>
            <w:vAlign w:val="top"/>
          </w:tcPr>
          <w:p>
            <w:r>
              <w:rPr>
                <w:sz w:val="17"/>
              </w:rPr>
            </w:r>
            <w:r>
              <w:rPr>
                <w:b w:val="0"/>
                <w:sz w:val="17"/>
              </w:rPr>
              <w:t>Tax Rules</w:t>
            </w:r>
          </w:p>
        </w:tc>
        <w:tc>
          <w:tcPr>
            <w:tcW w:type="dxa" w:w="8064"/>
            <w:vAlign w:val="top"/>
          </w:tcPr>
          <w:p>
            <w:r>
              <w:rPr>
                <w:sz w:val="17"/>
              </w:rPr>
            </w:r>
            <w:r>
              <w:rPr>
                <w:b w:val="0"/>
                <w:sz w:val="17"/>
              </w:rPr>
              <w:t>Reference and future admin page for jurisdiction-specific fiscal assumptions.</w:t>
            </w:r>
          </w:p>
        </w:tc>
      </w:tr>
      <w:tr>
        <w:tc>
          <w:tcPr>
            <w:tcW w:type="dxa" w:w="2592"/>
            <w:vAlign w:val="top"/>
          </w:tcPr>
          <w:p>
            <w:r>
              <w:rPr>
                <w:sz w:val="17"/>
              </w:rPr>
            </w:r>
            <w:r>
              <w:rPr>
                <w:b w:val="0"/>
                <w:sz w:val="17"/>
              </w:rPr>
              <w:t>History</w:t>
            </w:r>
          </w:p>
        </w:tc>
        <w:tc>
          <w:tcPr>
            <w:tcW w:type="dxa" w:w="8064"/>
            <w:vAlign w:val="top"/>
          </w:tcPr>
          <w:p>
            <w:r>
              <w:rPr>
                <w:sz w:val="17"/>
              </w:rPr>
            </w:r>
            <w:r>
              <w:rPr>
                <w:b w:val="0"/>
                <w:sz w:val="17"/>
              </w:rPr>
              <w:t>Saved runs, comparison, duplication, audit and export.</w:t>
            </w:r>
          </w:p>
        </w:tc>
      </w:tr>
      <w:tr>
        <w:tc>
          <w:tcPr>
            <w:tcW w:type="dxa" w:w="2592"/>
            <w:vAlign w:val="top"/>
          </w:tcPr>
          <w:p>
            <w:r>
              <w:rPr>
                <w:sz w:val="17"/>
              </w:rPr>
            </w:r>
            <w:r>
              <w:rPr>
                <w:b w:val="0"/>
                <w:sz w:val="17"/>
              </w:rPr>
              <w:t>Admin</w:t>
            </w:r>
          </w:p>
        </w:tc>
        <w:tc>
          <w:tcPr>
            <w:tcW w:type="dxa" w:w="8064"/>
            <w:vAlign w:val="top"/>
          </w:tcPr>
          <w:p>
            <w:r>
              <w:rPr>
                <w:sz w:val="17"/>
              </w:rPr>
            </w:r>
            <w:r>
              <w:rPr>
                <w:b w:val="0"/>
                <w:sz w:val="17"/>
              </w:rPr>
              <w:t>Reference data maintenance, user management and audit-log access.</w:t>
            </w:r>
          </w:p>
        </w:tc>
      </w:tr>
    </w:tbl>
    <w:p>
      <w:pPr>
        <w:pStyle w:val="Heading1"/>
      </w:pPr>
      <w:r>
        <w:t>6. Calculation Engine and Formula Governance</w:t>
      </w:r>
    </w:p>
    <w:p>
      <w:r>
        <w:t>The calculation engine must be implemented as a pure backend function. Same input plus same tax profile must always generate the same output. The engine must not depend on frontend state, database side effects or Excel formulas.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800"/>
            <w:vAlign w:val="top"/>
            <w:shd w:fill="0F766E"/>
          </w:tcPr>
          <w:p>
            <w:r>
              <w:rPr>
                <w:b/>
                <w:color w:val="FFFFFF"/>
                <w:sz w:val="17"/>
              </w:rPr>
            </w:r>
            <w:r>
              <w:rPr>
                <w:b/>
                <w:color w:val="FFFFFF"/>
                <w:sz w:val="17"/>
              </w:rPr>
              <w:t>Formula group</w:t>
            </w:r>
          </w:p>
        </w:tc>
        <w:tc>
          <w:tcPr>
            <w:tcW w:type="dxa" w:w="2736"/>
            <w:vAlign w:val="top"/>
            <w:shd w:fill="0F766E"/>
          </w:tcPr>
          <w:p>
            <w:r>
              <w:rPr>
                <w:b/>
                <w:color w:val="FFFFFF"/>
                <w:sz w:val="17"/>
              </w:rPr>
            </w:r>
            <w:r>
              <w:rPr>
                <w:b/>
                <w:color w:val="FFFFFF"/>
                <w:sz w:val="17"/>
              </w:rPr>
              <w:t>Output</w:t>
            </w:r>
          </w:p>
        </w:tc>
        <w:tc>
          <w:tcPr>
            <w:tcW w:type="dxa" w:w="6048"/>
            <w:vAlign w:val="top"/>
            <w:shd w:fill="0F766E"/>
          </w:tcPr>
          <w:p>
            <w:r>
              <w:rPr>
                <w:b/>
                <w:color w:val="FFFFFF"/>
                <w:sz w:val="17"/>
              </w:rPr>
            </w:r>
            <w:r>
              <w:rPr>
                <w:b/>
                <w:color w:val="FFFFFF"/>
                <w:sz w:val="17"/>
              </w:rPr>
              <w:t>Formula</w:t>
            </w:r>
          </w:p>
        </w:tc>
      </w:tr>
      <w:tr>
        <w:tc>
          <w:tcPr>
            <w:tcW w:type="dxa" w:w="1800"/>
            <w:vAlign w:val="top"/>
          </w:tcPr>
          <w:p>
            <w:r>
              <w:rPr>
                <w:sz w:val="17"/>
              </w:rPr>
            </w:r>
            <w:r>
              <w:rPr>
                <w:b w:val="0"/>
                <w:sz w:val="17"/>
              </w:rPr>
              <w:t>Activity</w:t>
            </w:r>
          </w:p>
        </w:tc>
        <w:tc>
          <w:tcPr>
            <w:tcW w:type="dxa" w:w="2736"/>
            <w:vAlign w:val="top"/>
          </w:tcPr>
          <w:p>
            <w:r>
              <w:rPr>
                <w:sz w:val="17"/>
              </w:rPr>
            </w:r>
            <w:r>
              <w:rPr>
                <w:b w:val="0"/>
                <w:sz w:val="17"/>
              </w:rPr>
              <w:t>annualTotalKm</w:t>
            </w:r>
          </w:p>
        </w:tc>
        <w:tc>
          <w:tcPr>
            <w:tcW w:type="dxa" w:w="6048"/>
            <w:vAlign w:val="top"/>
          </w:tcPr>
          <w:p>
            <w:r>
              <w:rPr>
                <w:sz w:val="17"/>
              </w:rPr>
            </w:r>
            <w:r>
              <w:rPr>
                <w:b w:val="0"/>
                <w:sz w:val="17"/>
              </w:rPr>
              <w:t>dailyKm x operatingDaysPerYear</w:t>
            </w:r>
          </w:p>
        </w:tc>
      </w:tr>
      <w:tr>
        <w:tc>
          <w:tcPr>
            <w:tcW w:type="dxa" w:w="1800"/>
            <w:vAlign w:val="top"/>
          </w:tcPr>
          <w:p>
            <w:r>
              <w:rPr>
                <w:sz w:val="17"/>
              </w:rPr>
            </w:r>
            <w:r>
              <w:rPr>
                <w:b w:val="0"/>
                <w:sz w:val="17"/>
              </w:rPr>
              <w:t>Activity</w:t>
            </w:r>
          </w:p>
        </w:tc>
        <w:tc>
          <w:tcPr>
            <w:tcW w:type="dxa" w:w="2736"/>
            <w:vAlign w:val="top"/>
          </w:tcPr>
          <w:p>
            <w:r>
              <w:rPr>
                <w:sz w:val="17"/>
              </w:rPr>
            </w:r>
            <w:r>
              <w:rPr>
                <w:b w:val="0"/>
                <w:sz w:val="17"/>
              </w:rPr>
              <w:t>loadedKmYear</w:t>
            </w:r>
          </w:p>
        </w:tc>
        <w:tc>
          <w:tcPr>
            <w:tcW w:type="dxa" w:w="6048"/>
            <w:vAlign w:val="top"/>
          </w:tcPr>
          <w:p>
            <w:r>
              <w:rPr>
                <w:sz w:val="17"/>
              </w:rPr>
            </w:r>
            <w:r>
              <w:rPr>
                <w:b w:val="0"/>
                <w:sz w:val="17"/>
              </w:rPr>
              <w:t>annualTotalKm x loadFactor</w:t>
            </w:r>
          </w:p>
        </w:tc>
      </w:tr>
      <w:tr>
        <w:tc>
          <w:tcPr>
            <w:tcW w:type="dxa" w:w="1800"/>
            <w:vAlign w:val="top"/>
          </w:tcPr>
          <w:p>
            <w:r>
              <w:rPr>
                <w:sz w:val="17"/>
              </w:rPr>
            </w:r>
            <w:r>
              <w:rPr>
                <w:b w:val="0"/>
                <w:sz w:val="17"/>
              </w:rPr>
              <w:t>Payload</w:t>
            </w:r>
          </w:p>
        </w:tc>
        <w:tc>
          <w:tcPr>
            <w:tcW w:type="dxa" w:w="2736"/>
            <w:vAlign w:val="top"/>
          </w:tcPr>
          <w:p>
            <w:r>
              <w:rPr>
                <w:sz w:val="17"/>
              </w:rPr>
            </w:r>
            <w:r>
              <w:rPr>
                <w:b w:val="0"/>
                <w:sz w:val="17"/>
              </w:rPr>
              <w:t>effectivePayloadTons</w:t>
            </w:r>
          </w:p>
        </w:tc>
        <w:tc>
          <w:tcPr>
            <w:tcW w:type="dxa" w:w="6048"/>
            <w:vAlign w:val="top"/>
          </w:tcPr>
          <w:p>
            <w:r>
              <w:rPr>
                <w:sz w:val="17"/>
              </w:rPr>
            </w:r>
            <w:r>
              <w:rPr>
                <w:b w:val="0"/>
                <w:sz w:val="17"/>
              </w:rPr>
              <w:t>payloadCapacityTons x payloadUtilisation</w:t>
            </w:r>
          </w:p>
        </w:tc>
      </w:tr>
      <w:tr>
        <w:tc>
          <w:tcPr>
            <w:tcW w:type="dxa" w:w="1800"/>
            <w:vAlign w:val="top"/>
          </w:tcPr>
          <w:p>
            <w:r>
              <w:rPr>
                <w:sz w:val="17"/>
              </w:rPr>
            </w:r>
            <w:r>
              <w:rPr>
                <w:b w:val="0"/>
                <w:sz w:val="17"/>
              </w:rPr>
              <w:t>Payload</w:t>
            </w:r>
          </w:p>
        </w:tc>
        <w:tc>
          <w:tcPr>
            <w:tcW w:type="dxa" w:w="2736"/>
            <w:vAlign w:val="top"/>
          </w:tcPr>
          <w:p>
            <w:r>
              <w:rPr>
                <w:sz w:val="17"/>
              </w:rPr>
            </w:r>
            <w:r>
              <w:rPr>
                <w:b w:val="0"/>
                <w:sz w:val="17"/>
              </w:rPr>
              <w:t>annualTonneKm</w:t>
            </w:r>
          </w:p>
        </w:tc>
        <w:tc>
          <w:tcPr>
            <w:tcW w:type="dxa" w:w="6048"/>
            <w:vAlign w:val="top"/>
          </w:tcPr>
          <w:p>
            <w:r>
              <w:rPr>
                <w:sz w:val="17"/>
              </w:rPr>
            </w:r>
            <w:r>
              <w:rPr>
                <w:b w:val="0"/>
                <w:sz w:val="17"/>
              </w:rPr>
              <w:t>loadedKmYear x effectivePayloadTons</w:t>
            </w:r>
          </w:p>
        </w:tc>
      </w:tr>
      <w:tr>
        <w:tc>
          <w:tcPr>
            <w:tcW w:type="dxa" w:w="1800"/>
            <w:vAlign w:val="top"/>
          </w:tcPr>
          <w:p>
            <w:r>
              <w:rPr>
                <w:sz w:val="17"/>
              </w:rPr>
            </w:r>
            <w:r>
              <w:rPr>
                <w:b w:val="0"/>
                <w:sz w:val="17"/>
              </w:rPr>
              <w:t>Variable cost</w:t>
            </w:r>
          </w:p>
        </w:tc>
        <w:tc>
          <w:tcPr>
            <w:tcW w:type="dxa" w:w="2736"/>
            <w:vAlign w:val="top"/>
          </w:tcPr>
          <w:p>
            <w:r>
              <w:rPr>
                <w:sz w:val="17"/>
              </w:rPr>
            </w:r>
            <w:r>
              <w:rPr>
                <w:b w:val="0"/>
                <w:sz w:val="17"/>
              </w:rPr>
              <w:t>fuelCostPerKm</w:t>
            </w:r>
          </w:p>
        </w:tc>
        <w:tc>
          <w:tcPr>
            <w:tcW w:type="dxa" w:w="6048"/>
            <w:vAlign w:val="top"/>
          </w:tcPr>
          <w:p>
            <w:r>
              <w:rPr>
                <w:sz w:val="17"/>
              </w:rPr>
            </w:r>
            <w:r>
              <w:rPr>
                <w:b w:val="0"/>
                <w:sz w:val="17"/>
              </w:rPr>
              <w:t>(fuelConsumptionLPer100Km / 100) x fuelPricePerLiter</w:t>
            </w:r>
          </w:p>
        </w:tc>
      </w:tr>
      <w:tr>
        <w:tc>
          <w:tcPr>
            <w:tcW w:type="dxa" w:w="1800"/>
            <w:vAlign w:val="top"/>
          </w:tcPr>
          <w:p>
            <w:r>
              <w:rPr>
                <w:sz w:val="17"/>
              </w:rPr>
            </w:r>
            <w:r>
              <w:rPr>
                <w:b w:val="0"/>
                <w:sz w:val="17"/>
              </w:rPr>
              <w:t>Variable cost</w:t>
            </w:r>
          </w:p>
        </w:tc>
        <w:tc>
          <w:tcPr>
            <w:tcW w:type="dxa" w:w="2736"/>
            <w:vAlign w:val="top"/>
          </w:tcPr>
          <w:p>
            <w:r>
              <w:rPr>
                <w:sz w:val="17"/>
              </w:rPr>
            </w:r>
            <w:r>
              <w:rPr>
                <w:b w:val="0"/>
                <w:sz w:val="17"/>
              </w:rPr>
              <w:t>tyresCostPerKm</w:t>
            </w:r>
          </w:p>
        </w:tc>
        <w:tc>
          <w:tcPr>
            <w:tcW w:type="dxa" w:w="6048"/>
            <w:vAlign w:val="top"/>
          </w:tcPr>
          <w:p>
            <w:r>
              <w:rPr>
                <w:sz w:val="17"/>
              </w:rPr>
            </w:r>
            <w:r>
              <w:rPr>
                <w:b w:val="0"/>
                <w:sz w:val="17"/>
              </w:rPr>
              <w:t>tyresAnnualCost / annualTotalKm</w:t>
            </w:r>
          </w:p>
        </w:tc>
      </w:tr>
      <w:tr>
        <w:tc>
          <w:tcPr>
            <w:tcW w:type="dxa" w:w="1800"/>
            <w:vAlign w:val="top"/>
          </w:tcPr>
          <w:p>
            <w:r>
              <w:rPr>
                <w:sz w:val="17"/>
              </w:rPr>
            </w:r>
            <w:r>
              <w:rPr>
                <w:b w:val="0"/>
                <w:sz w:val="17"/>
              </w:rPr>
              <w:t>Variable cost</w:t>
            </w:r>
          </w:p>
        </w:tc>
        <w:tc>
          <w:tcPr>
            <w:tcW w:type="dxa" w:w="2736"/>
            <w:vAlign w:val="top"/>
          </w:tcPr>
          <w:p>
            <w:r>
              <w:rPr>
                <w:sz w:val="17"/>
              </w:rPr>
            </w:r>
            <w:r>
              <w:rPr>
                <w:b w:val="0"/>
                <w:sz w:val="17"/>
              </w:rPr>
              <w:t>maintenanceCostPerKm</w:t>
            </w:r>
          </w:p>
        </w:tc>
        <w:tc>
          <w:tcPr>
            <w:tcW w:type="dxa" w:w="6048"/>
            <w:vAlign w:val="top"/>
          </w:tcPr>
          <w:p>
            <w:r>
              <w:rPr>
                <w:sz w:val="17"/>
              </w:rPr>
            </w:r>
            <w:r>
              <w:rPr>
                <w:b w:val="0"/>
                <w:sz w:val="17"/>
              </w:rPr>
              <w:t>maintenanceAnnualCost / annualTotalKm</w:t>
            </w:r>
          </w:p>
        </w:tc>
      </w:tr>
      <w:tr>
        <w:tc>
          <w:tcPr>
            <w:tcW w:type="dxa" w:w="1800"/>
            <w:vAlign w:val="top"/>
          </w:tcPr>
          <w:p>
            <w:r>
              <w:rPr>
                <w:sz w:val="17"/>
              </w:rPr>
            </w:r>
            <w:r>
              <w:rPr>
                <w:b w:val="0"/>
                <w:sz w:val="17"/>
              </w:rPr>
              <w:t>Variable cost</w:t>
            </w:r>
          </w:p>
        </w:tc>
        <w:tc>
          <w:tcPr>
            <w:tcW w:type="dxa" w:w="2736"/>
            <w:vAlign w:val="top"/>
          </w:tcPr>
          <w:p>
            <w:r>
              <w:rPr>
                <w:sz w:val="17"/>
              </w:rPr>
            </w:r>
            <w:r>
              <w:rPr>
                <w:b w:val="0"/>
                <w:sz w:val="17"/>
              </w:rPr>
              <w:t>roadFeesCostPerKm</w:t>
            </w:r>
          </w:p>
        </w:tc>
        <w:tc>
          <w:tcPr>
            <w:tcW w:type="dxa" w:w="6048"/>
            <w:vAlign w:val="top"/>
          </w:tcPr>
          <w:p>
            <w:r>
              <w:rPr>
                <w:sz w:val="17"/>
              </w:rPr>
            </w:r>
            <w:r>
              <w:rPr>
                <w:b w:val="0"/>
                <w:sz w:val="17"/>
              </w:rPr>
              <w:t>roadFeesAnnualCost / annualTotalKm</w:t>
            </w:r>
          </w:p>
        </w:tc>
      </w:tr>
      <w:tr>
        <w:tc>
          <w:tcPr>
            <w:tcW w:type="dxa" w:w="1800"/>
            <w:vAlign w:val="top"/>
          </w:tcPr>
          <w:p>
            <w:r>
              <w:rPr>
                <w:sz w:val="17"/>
              </w:rPr>
            </w:r>
            <w:r>
              <w:rPr>
                <w:b w:val="0"/>
                <w:sz w:val="17"/>
              </w:rPr>
              <w:t>Variable cost</w:t>
            </w:r>
          </w:p>
        </w:tc>
        <w:tc>
          <w:tcPr>
            <w:tcW w:type="dxa" w:w="2736"/>
            <w:vAlign w:val="top"/>
          </w:tcPr>
          <w:p>
            <w:r>
              <w:rPr>
                <w:sz w:val="17"/>
              </w:rPr>
            </w:r>
            <w:r>
              <w:rPr>
                <w:b w:val="0"/>
                <w:sz w:val="17"/>
              </w:rPr>
              <w:t>variableCostPerKm</w:t>
            </w:r>
          </w:p>
        </w:tc>
        <w:tc>
          <w:tcPr>
            <w:tcW w:type="dxa" w:w="6048"/>
            <w:vAlign w:val="top"/>
          </w:tcPr>
          <w:p>
            <w:r>
              <w:rPr>
                <w:sz w:val="17"/>
              </w:rPr>
            </w:r>
            <w:r>
              <w:rPr>
                <w:b w:val="0"/>
                <w:sz w:val="17"/>
              </w:rPr>
              <w:t>fuelCostPerKm + tyresCostPerKm + maintenanceCostPerKm + roadFeesCostPerKm</w:t>
            </w:r>
          </w:p>
        </w:tc>
      </w:tr>
      <w:tr>
        <w:tc>
          <w:tcPr>
            <w:tcW w:type="dxa" w:w="1800"/>
            <w:vAlign w:val="top"/>
          </w:tcPr>
          <w:p>
            <w:r>
              <w:rPr>
                <w:sz w:val="17"/>
              </w:rPr>
            </w:r>
            <w:r>
              <w:rPr>
                <w:b w:val="0"/>
                <w:sz w:val="17"/>
              </w:rPr>
              <w:t>Variable cost</w:t>
            </w:r>
          </w:p>
        </w:tc>
        <w:tc>
          <w:tcPr>
            <w:tcW w:type="dxa" w:w="2736"/>
            <w:vAlign w:val="top"/>
          </w:tcPr>
          <w:p>
            <w:r>
              <w:rPr>
                <w:sz w:val="17"/>
              </w:rPr>
            </w:r>
            <w:r>
              <w:rPr>
                <w:b w:val="0"/>
                <w:sz w:val="17"/>
              </w:rPr>
              <w:t>variableAnnualCost</w:t>
            </w:r>
          </w:p>
        </w:tc>
        <w:tc>
          <w:tcPr>
            <w:tcW w:type="dxa" w:w="6048"/>
            <w:vAlign w:val="top"/>
          </w:tcPr>
          <w:p>
            <w:r>
              <w:rPr>
                <w:sz w:val="17"/>
              </w:rPr>
            </w:r>
            <w:r>
              <w:rPr>
                <w:b w:val="0"/>
                <w:sz w:val="17"/>
              </w:rPr>
              <w:t>variableCostPerKm x annualTotalKm</w:t>
            </w:r>
          </w:p>
        </w:tc>
      </w:tr>
      <w:tr>
        <w:tc>
          <w:tcPr>
            <w:tcW w:type="dxa" w:w="1800"/>
            <w:vAlign w:val="top"/>
          </w:tcPr>
          <w:p>
            <w:r>
              <w:rPr>
                <w:sz w:val="17"/>
              </w:rPr>
            </w:r>
            <w:r>
              <w:rPr>
                <w:b w:val="0"/>
                <w:sz w:val="17"/>
              </w:rPr>
              <w:t>Driver</w:t>
            </w:r>
          </w:p>
        </w:tc>
        <w:tc>
          <w:tcPr>
            <w:tcW w:type="dxa" w:w="2736"/>
            <w:vAlign w:val="top"/>
          </w:tcPr>
          <w:p>
            <w:r>
              <w:rPr>
                <w:sz w:val="17"/>
              </w:rPr>
            </w:r>
            <w:r>
              <w:rPr>
                <w:b w:val="0"/>
                <w:sz w:val="17"/>
              </w:rPr>
              <w:t>employerContributionAnnual</w:t>
            </w:r>
          </w:p>
        </w:tc>
        <w:tc>
          <w:tcPr>
            <w:tcW w:type="dxa" w:w="6048"/>
            <w:vAlign w:val="top"/>
          </w:tcPr>
          <w:p>
            <w:r>
              <w:rPr>
                <w:sz w:val="17"/>
              </w:rPr>
            </w:r>
            <w:r>
              <w:rPr>
                <w:b w:val="0"/>
                <w:sz w:val="17"/>
              </w:rPr>
              <w:t>driverSalaryAnnual x employerContributionRate</w:t>
            </w:r>
          </w:p>
        </w:tc>
      </w:tr>
      <w:tr>
        <w:tc>
          <w:tcPr>
            <w:tcW w:type="dxa" w:w="1800"/>
            <w:vAlign w:val="top"/>
          </w:tcPr>
          <w:p>
            <w:r>
              <w:rPr>
                <w:sz w:val="17"/>
              </w:rPr>
            </w:r>
            <w:r>
              <w:rPr>
                <w:b w:val="0"/>
                <w:sz w:val="17"/>
              </w:rPr>
              <w:t>Driver</w:t>
            </w:r>
          </w:p>
        </w:tc>
        <w:tc>
          <w:tcPr>
            <w:tcW w:type="dxa" w:w="2736"/>
            <w:vAlign w:val="top"/>
          </w:tcPr>
          <w:p>
            <w:r>
              <w:rPr>
                <w:sz w:val="17"/>
              </w:rPr>
            </w:r>
            <w:r>
              <w:rPr>
                <w:b w:val="0"/>
                <w:sz w:val="17"/>
              </w:rPr>
              <w:t>annualPerDiem</w:t>
            </w:r>
          </w:p>
        </w:tc>
        <w:tc>
          <w:tcPr>
            <w:tcW w:type="dxa" w:w="6048"/>
            <w:vAlign w:val="top"/>
          </w:tcPr>
          <w:p>
            <w:r>
              <w:rPr>
                <w:sz w:val="17"/>
              </w:rPr>
            </w:r>
            <w:r>
              <w:rPr>
                <w:b w:val="0"/>
                <w:sz w:val="17"/>
              </w:rPr>
              <w:t>driverPerDiemDaily x operatingDaysPerYear</w:t>
            </w:r>
          </w:p>
        </w:tc>
      </w:tr>
      <w:tr>
        <w:tc>
          <w:tcPr>
            <w:tcW w:type="dxa" w:w="1800"/>
            <w:vAlign w:val="top"/>
          </w:tcPr>
          <w:p>
            <w:r>
              <w:rPr>
                <w:sz w:val="17"/>
              </w:rPr>
            </w:r>
            <w:r>
              <w:rPr>
                <w:b w:val="0"/>
                <w:sz w:val="17"/>
              </w:rPr>
              <w:t>Driver</w:t>
            </w:r>
          </w:p>
        </w:tc>
        <w:tc>
          <w:tcPr>
            <w:tcW w:type="dxa" w:w="2736"/>
            <w:vAlign w:val="top"/>
          </w:tcPr>
          <w:p>
            <w:r>
              <w:rPr>
                <w:sz w:val="17"/>
              </w:rPr>
            </w:r>
            <w:r>
              <w:rPr>
                <w:b w:val="0"/>
                <w:sz w:val="17"/>
              </w:rPr>
              <w:t>driverAnnualCost</w:t>
            </w:r>
          </w:p>
        </w:tc>
        <w:tc>
          <w:tcPr>
            <w:tcW w:type="dxa" w:w="6048"/>
            <w:vAlign w:val="top"/>
          </w:tcPr>
          <w:p>
            <w:r>
              <w:rPr>
                <w:sz w:val="17"/>
              </w:rPr>
            </w:r>
            <w:r>
              <w:rPr>
                <w:b w:val="0"/>
                <w:sz w:val="17"/>
              </w:rPr>
              <w:t>driverSalaryAnnual + employerContributionAnnual + annualPerDiem</w:t>
            </w:r>
          </w:p>
        </w:tc>
      </w:tr>
      <w:tr>
        <w:tc>
          <w:tcPr>
            <w:tcW w:type="dxa" w:w="1800"/>
            <w:vAlign w:val="top"/>
          </w:tcPr>
          <w:p>
            <w:r>
              <w:rPr>
                <w:sz w:val="17"/>
              </w:rPr>
            </w:r>
            <w:r>
              <w:rPr>
                <w:b w:val="0"/>
                <w:sz w:val="17"/>
              </w:rPr>
              <w:t>Fixed cost</w:t>
            </w:r>
          </w:p>
        </w:tc>
        <w:tc>
          <w:tcPr>
            <w:tcW w:type="dxa" w:w="2736"/>
            <w:vAlign w:val="top"/>
          </w:tcPr>
          <w:p>
            <w:r>
              <w:rPr>
                <w:sz w:val="17"/>
              </w:rPr>
            </w:r>
            <w:r>
              <w:rPr>
                <w:b w:val="0"/>
                <w:sz w:val="17"/>
              </w:rPr>
              <w:t>vehicleFixedAnnualCost</w:t>
            </w:r>
          </w:p>
        </w:tc>
        <w:tc>
          <w:tcPr>
            <w:tcW w:type="dxa" w:w="6048"/>
            <w:vAlign w:val="top"/>
          </w:tcPr>
          <w:p>
            <w:r>
              <w:rPr>
                <w:sz w:val="17"/>
              </w:rPr>
            </w:r>
            <w:r>
              <w:rPr>
                <w:b w:val="0"/>
                <w:sz w:val="17"/>
              </w:rPr>
              <w:t>ownershipOrLeasingAnnual + insuranceAnnual + vehicleTaxAnnual</w:t>
            </w:r>
          </w:p>
        </w:tc>
      </w:tr>
      <w:tr>
        <w:tc>
          <w:tcPr>
            <w:tcW w:type="dxa" w:w="1800"/>
            <w:vAlign w:val="top"/>
          </w:tcPr>
          <w:p>
            <w:r>
              <w:rPr>
                <w:sz w:val="17"/>
              </w:rPr>
            </w:r>
            <w:r>
              <w:rPr>
                <w:b w:val="0"/>
                <w:sz w:val="17"/>
              </w:rPr>
              <w:t>Total cost</w:t>
            </w:r>
          </w:p>
        </w:tc>
        <w:tc>
          <w:tcPr>
            <w:tcW w:type="dxa" w:w="2736"/>
            <w:vAlign w:val="top"/>
          </w:tcPr>
          <w:p>
            <w:r>
              <w:rPr>
                <w:sz w:val="17"/>
              </w:rPr>
            </w:r>
            <w:r>
              <w:rPr>
                <w:b w:val="0"/>
                <w:sz w:val="17"/>
              </w:rPr>
              <w:t>totalAnnualCost</w:t>
            </w:r>
          </w:p>
        </w:tc>
        <w:tc>
          <w:tcPr>
            <w:tcW w:type="dxa" w:w="6048"/>
            <w:vAlign w:val="top"/>
          </w:tcPr>
          <w:p>
            <w:r>
              <w:rPr>
                <w:sz w:val="17"/>
              </w:rPr>
            </w:r>
            <w:r>
              <w:rPr>
                <w:b w:val="0"/>
                <w:sz w:val="17"/>
              </w:rPr>
              <w:t>variableAnnualCost + driverAnnualCost + vehicleFixedAnnualCost + structuralAnnualCost</w:t>
            </w:r>
          </w:p>
        </w:tc>
      </w:tr>
      <w:tr>
        <w:tc>
          <w:tcPr>
            <w:tcW w:type="dxa" w:w="1800"/>
            <w:vAlign w:val="top"/>
          </w:tcPr>
          <w:p>
            <w:r>
              <w:rPr>
                <w:sz w:val="17"/>
              </w:rPr>
            </w:r>
            <w:r>
              <w:rPr>
                <w:b w:val="0"/>
                <w:sz w:val="17"/>
              </w:rPr>
              <w:t>Break-even</w:t>
            </w:r>
          </w:p>
        </w:tc>
        <w:tc>
          <w:tcPr>
            <w:tcW w:type="dxa" w:w="2736"/>
            <w:vAlign w:val="top"/>
          </w:tcPr>
          <w:p>
            <w:r>
              <w:rPr>
                <w:sz w:val="17"/>
              </w:rPr>
            </w:r>
            <w:r>
              <w:rPr>
                <w:b w:val="0"/>
                <w:sz w:val="17"/>
              </w:rPr>
              <w:t>breakEvenPerLoadedKm</w:t>
            </w:r>
          </w:p>
        </w:tc>
        <w:tc>
          <w:tcPr>
            <w:tcW w:type="dxa" w:w="6048"/>
            <w:vAlign w:val="top"/>
          </w:tcPr>
          <w:p>
            <w:r>
              <w:rPr>
                <w:sz w:val="17"/>
              </w:rPr>
            </w:r>
            <w:r>
              <w:rPr>
                <w:b w:val="0"/>
                <w:sz w:val="17"/>
              </w:rPr>
              <w:t>totalAnnualCost / loadedKmYear</w:t>
            </w:r>
          </w:p>
        </w:tc>
      </w:tr>
      <w:tr>
        <w:tc>
          <w:tcPr>
            <w:tcW w:type="dxa" w:w="1800"/>
            <w:vAlign w:val="top"/>
          </w:tcPr>
          <w:p>
            <w:r>
              <w:rPr>
                <w:sz w:val="17"/>
              </w:rPr>
            </w:r>
            <w:r>
              <w:rPr>
                <w:b w:val="0"/>
                <w:sz w:val="17"/>
              </w:rPr>
              <w:t>Break-even</w:t>
            </w:r>
          </w:p>
        </w:tc>
        <w:tc>
          <w:tcPr>
            <w:tcW w:type="dxa" w:w="2736"/>
            <w:vAlign w:val="top"/>
          </w:tcPr>
          <w:p>
            <w:r>
              <w:rPr>
                <w:sz w:val="17"/>
              </w:rPr>
            </w:r>
            <w:r>
              <w:rPr>
                <w:b w:val="0"/>
                <w:sz w:val="17"/>
              </w:rPr>
              <w:t>breakEvenPerTonneKm</w:t>
            </w:r>
          </w:p>
        </w:tc>
        <w:tc>
          <w:tcPr>
            <w:tcW w:type="dxa" w:w="6048"/>
            <w:vAlign w:val="top"/>
          </w:tcPr>
          <w:p>
            <w:r>
              <w:rPr>
                <w:sz w:val="17"/>
              </w:rPr>
            </w:r>
            <w:r>
              <w:rPr>
                <w:b w:val="0"/>
                <w:sz w:val="17"/>
              </w:rPr>
              <w:t>totalAnnualCost / annualTonneKm</w:t>
            </w:r>
          </w:p>
        </w:tc>
      </w:tr>
      <w:tr>
        <w:tc>
          <w:tcPr>
            <w:tcW w:type="dxa" w:w="1800"/>
            <w:vAlign w:val="top"/>
          </w:tcPr>
          <w:p>
            <w:r>
              <w:rPr>
                <w:sz w:val="17"/>
              </w:rPr>
            </w:r>
            <w:r>
              <w:rPr>
                <w:b w:val="0"/>
                <w:sz w:val="17"/>
              </w:rPr>
              <w:t>Pricing</w:t>
            </w:r>
          </w:p>
        </w:tc>
        <w:tc>
          <w:tcPr>
            <w:tcW w:type="dxa" w:w="2736"/>
            <w:vAlign w:val="top"/>
          </w:tcPr>
          <w:p>
            <w:r>
              <w:rPr>
                <w:sz w:val="17"/>
              </w:rPr>
            </w:r>
            <w:r>
              <w:rPr>
                <w:b w:val="0"/>
                <w:sz w:val="17"/>
              </w:rPr>
              <w:t>customerRateExclVat</w:t>
            </w:r>
          </w:p>
        </w:tc>
        <w:tc>
          <w:tcPr>
            <w:tcW w:type="dxa" w:w="6048"/>
            <w:vAlign w:val="top"/>
          </w:tcPr>
          <w:p>
            <w:r>
              <w:rPr>
                <w:sz w:val="17"/>
              </w:rPr>
            </w:r>
            <w:r>
              <w:rPr>
                <w:b w:val="0"/>
                <w:sz w:val="17"/>
              </w:rPr>
              <w:t>breakEvenPerLoadedKm x (1 + markupPercentage)</w:t>
            </w:r>
          </w:p>
        </w:tc>
      </w:tr>
      <w:tr>
        <w:tc>
          <w:tcPr>
            <w:tcW w:type="dxa" w:w="1800"/>
            <w:vAlign w:val="top"/>
          </w:tcPr>
          <w:p>
            <w:r>
              <w:rPr>
                <w:sz w:val="17"/>
              </w:rPr>
            </w:r>
            <w:r>
              <w:rPr>
                <w:b w:val="0"/>
                <w:sz w:val="17"/>
              </w:rPr>
              <w:t>Pricing</w:t>
            </w:r>
          </w:p>
        </w:tc>
        <w:tc>
          <w:tcPr>
            <w:tcW w:type="dxa" w:w="2736"/>
            <w:vAlign w:val="top"/>
          </w:tcPr>
          <w:p>
            <w:r>
              <w:rPr>
                <w:sz w:val="17"/>
              </w:rPr>
            </w:r>
            <w:r>
              <w:rPr>
                <w:b w:val="0"/>
                <w:sz w:val="17"/>
              </w:rPr>
              <w:t>customerRateInclVat</w:t>
            </w:r>
          </w:p>
        </w:tc>
        <w:tc>
          <w:tcPr>
            <w:tcW w:type="dxa" w:w="6048"/>
            <w:vAlign w:val="top"/>
          </w:tcPr>
          <w:p>
            <w:r>
              <w:rPr>
                <w:sz w:val="17"/>
              </w:rPr>
            </w:r>
            <w:r>
              <w:rPr>
                <w:b w:val="0"/>
                <w:sz w:val="17"/>
              </w:rPr>
              <w:t>customerRateExclVat x (1 + vatRate)</w:t>
            </w:r>
          </w:p>
        </w:tc>
      </w:tr>
      <w:tr>
        <w:tc>
          <w:tcPr>
            <w:tcW w:type="dxa" w:w="1800"/>
            <w:vAlign w:val="top"/>
          </w:tcPr>
          <w:p>
            <w:r>
              <w:rPr>
                <w:sz w:val="17"/>
              </w:rPr>
            </w:r>
            <w:r>
              <w:rPr>
                <w:b w:val="0"/>
                <w:sz w:val="17"/>
              </w:rPr>
              <w:t>Revenue</w:t>
            </w:r>
          </w:p>
        </w:tc>
        <w:tc>
          <w:tcPr>
            <w:tcW w:type="dxa" w:w="2736"/>
            <w:vAlign w:val="top"/>
          </w:tcPr>
          <w:p>
            <w:r>
              <w:rPr>
                <w:sz w:val="17"/>
              </w:rPr>
            </w:r>
            <w:r>
              <w:rPr>
                <w:b w:val="0"/>
                <w:sz w:val="17"/>
              </w:rPr>
              <w:t>annualRevenueExclVat</w:t>
            </w:r>
          </w:p>
        </w:tc>
        <w:tc>
          <w:tcPr>
            <w:tcW w:type="dxa" w:w="6048"/>
            <w:vAlign w:val="top"/>
          </w:tcPr>
          <w:p>
            <w:r>
              <w:rPr>
                <w:sz w:val="17"/>
              </w:rPr>
            </w:r>
            <w:r>
              <w:rPr>
                <w:b w:val="0"/>
                <w:sz w:val="17"/>
              </w:rPr>
              <w:t>customerRateExclVat x loadedKmYear</w:t>
            </w:r>
          </w:p>
        </w:tc>
      </w:tr>
      <w:tr>
        <w:tc>
          <w:tcPr>
            <w:tcW w:type="dxa" w:w="1800"/>
            <w:vAlign w:val="top"/>
          </w:tcPr>
          <w:p>
            <w:r>
              <w:rPr>
                <w:sz w:val="17"/>
              </w:rPr>
            </w:r>
            <w:r>
              <w:rPr>
                <w:b w:val="0"/>
                <w:sz w:val="17"/>
              </w:rPr>
              <w:t>Tax</w:t>
            </w:r>
          </w:p>
        </w:tc>
        <w:tc>
          <w:tcPr>
            <w:tcW w:type="dxa" w:w="2736"/>
            <w:vAlign w:val="top"/>
          </w:tcPr>
          <w:p>
            <w:r>
              <w:rPr>
                <w:sz w:val="17"/>
              </w:rPr>
            </w:r>
            <w:r>
              <w:rPr>
                <w:b w:val="0"/>
                <w:sz w:val="17"/>
              </w:rPr>
              <w:t>vatCollected</w:t>
            </w:r>
          </w:p>
        </w:tc>
        <w:tc>
          <w:tcPr>
            <w:tcW w:type="dxa" w:w="6048"/>
            <w:vAlign w:val="top"/>
          </w:tcPr>
          <w:p>
            <w:r>
              <w:rPr>
                <w:sz w:val="17"/>
              </w:rPr>
            </w:r>
            <w:r>
              <w:rPr>
                <w:b w:val="0"/>
                <w:sz w:val="17"/>
              </w:rPr>
              <w:t>annualRevenueExclVat x vatRate</w:t>
            </w:r>
          </w:p>
        </w:tc>
      </w:tr>
      <w:tr>
        <w:tc>
          <w:tcPr>
            <w:tcW w:type="dxa" w:w="1800"/>
            <w:vAlign w:val="top"/>
          </w:tcPr>
          <w:p>
            <w:r>
              <w:rPr>
                <w:sz w:val="17"/>
              </w:rPr>
            </w:r>
            <w:r>
              <w:rPr>
                <w:b w:val="0"/>
                <w:sz w:val="17"/>
              </w:rPr>
              <w:t>Tax</w:t>
            </w:r>
          </w:p>
        </w:tc>
        <w:tc>
          <w:tcPr>
            <w:tcW w:type="dxa" w:w="2736"/>
            <w:vAlign w:val="top"/>
          </w:tcPr>
          <w:p>
            <w:r>
              <w:rPr>
                <w:sz w:val="17"/>
              </w:rPr>
            </w:r>
            <w:r>
              <w:rPr>
                <w:b w:val="0"/>
                <w:sz w:val="17"/>
              </w:rPr>
              <w:t>businessTax</w:t>
            </w:r>
          </w:p>
        </w:tc>
        <w:tc>
          <w:tcPr>
            <w:tcW w:type="dxa" w:w="6048"/>
            <w:vAlign w:val="top"/>
          </w:tcPr>
          <w:p>
            <w:r>
              <w:rPr>
                <w:sz w:val="17"/>
              </w:rPr>
            </w:r>
            <w:r>
              <w:rPr>
                <w:b w:val="0"/>
                <w:sz w:val="17"/>
              </w:rPr>
              <w:t>max(0, ebitBeforeTax x effectiveBusinessTaxRate)</w:t>
            </w:r>
          </w:p>
        </w:tc>
      </w:tr>
      <w:tr>
        <w:tc>
          <w:tcPr>
            <w:tcW w:type="dxa" w:w="1800"/>
            <w:vAlign w:val="top"/>
          </w:tcPr>
          <w:p>
            <w:r>
              <w:rPr>
                <w:sz w:val="17"/>
              </w:rPr>
            </w:r>
            <w:r>
              <w:rPr>
                <w:b w:val="0"/>
                <w:sz w:val="17"/>
              </w:rPr>
              <w:t>Profit</w:t>
            </w:r>
          </w:p>
        </w:tc>
        <w:tc>
          <w:tcPr>
            <w:tcW w:type="dxa" w:w="2736"/>
            <w:vAlign w:val="top"/>
          </w:tcPr>
          <w:p>
            <w:r>
              <w:rPr>
                <w:sz w:val="17"/>
              </w:rPr>
            </w:r>
            <w:r>
              <w:rPr>
                <w:b w:val="0"/>
                <w:sz w:val="17"/>
              </w:rPr>
              <w:t>profitAfterTax</w:t>
            </w:r>
          </w:p>
        </w:tc>
        <w:tc>
          <w:tcPr>
            <w:tcW w:type="dxa" w:w="6048"/>
            <w:vAlign w:val="top"/>
          </w:tcPr>
          <w:p>
            <w:r>
              <w:rPr>
                <w:sz w:val="17"/>
              </w:rPr>
            </w:r>
            <w:r>
              <w:rPr>
                <w:b w:val="0"/>
                <w:sz w:val="17"/>
              </w:rPr>
              <w:t>ebitBeforeTax - businessTax</w:t>
            </w:r>
          </w:p>
        </w:tc>
      </w:tr>
      <w:tr>
        <w:tc>
          <w:tcPr>
            <w:tcW w:type="dxa" w:w="1800"/>
            <w:vAlign w:val="top"/>
          </w:tcPr>
          <w:p>
            <w:r>
              <w:rPr>
                <w:sz w:val="17"/>
              </w:rPr>
            </w:r>
            <w:r>
              <w:rPr>
                <w:b w:val="0"/>
                <w:sz w:val="17"/>
              </w:rPr>
              <w:t>Profit</w:t>
            </w:r>
          </w:p>
        </w:tc>
        <w:tc>
          <w:tcPr>
            <w:tcW w:type="dxa" w:w="2736"/>
            <w:vAlign w:val="top"/>
          </w:tcPr>
          <w:p>
            <w:r>
              <w:rPr>
                <w:sz w:val="17"/>
              </w:rPr>
            </w:r>
            <w:r>
              <w:rPr>
                <w:b w:val="0"/>
                <w:sz w:val="17"/>
              </w:rPr>
              <w:t>afterTaxMargin</w:t>
            </w:r>
          </w:p>
        </w:tc>
        <w:tc>
          <w:tcPr>
            <w:tcW w:type="dxa" w:w="6048"/>
            <w:vAlign w:val="top"/>
          </w:tcPr>
          <w:p>
            <w:r>
              <w:rPr>
                <w:sz w:val="17"/>
              </w:rPr>
            </w:r>
            <w:r>
              <w:rPr>
                <w:b w:val="0"/>
                <w:sz w:val="17"/>
              </w:rPr>
              <w:t>profitAfterTax / annualRevenueExclVat</w:t>
            </w:r>
          </w:p>
        </w:tc>
      </w:tr>
    </w:tbl>
    <w:p>
      <w:pPr>
        <w:pStyle w:val="Heading2"/>
      </w:pPr>
      <w:r>
        <w:t>6.1 Formula Governance Rules</w:t>
      </w:r>
    </w:p>
    <w:p>
      <w:pPr>
        <w:pStyle w:val="ListBullet"/>
      </w:pPr>
      <w:r>
        <w:t>Every formula must have a named output field, a business meaning, a mathematical definition, input dependencies, a rounding rule and at least one unit test.</w:t>
      </w:r>
    </w:p>
    <w:p>
      <w:pPr>
        <w:pStyle w:val="ListBullet"/>
      </w:pPr>
      <w:r>
        <w:t>Formula output must be stored as a result snapshot when a calculation run is saved.</w:t>
      </w:r>
    </w:p>
    <w:p>
      <w:pPr>
        <w:pStyle w:val="ListBullet"/>
      </w:pPr>
      <w:r>
        <w:t>Rounding must happen only at API output and display level. Internal calculations should use full precision.</w:t>
      </w:r>
    </w:p>
    <w:p>
      <w:pPr>
        <w:pStyle w:val="ListBullet"/>
      </w:pPr>
      <w:r>
        <w:t>The engine must reject invalid denominators before division: annualTotalKm, loadedKmYear and annualTonneKm cannot be zero.</w:t>
      </w:r>
    </w:p>
    <w:p>
      <w:pPr>
        <w:pStyle w:val="ListBullet"/>
      </w:pPr>
      <w:r>
        <w:t>Customer rate per loaded km must never be a raw operational input. It is generated from break-even and markup.</w:t>
      </w:r>
    </w:p>
    <w:p>
      <w:pPr>
        <w:pStyle w:val="ListBullet"/>
      </w:pPr>
      <w:r>
        <w:t>VAT must be separated from revenue and profit. VAT belongs to invoice/cash view only.</w:t>
      </w:r>
    </w:p>
    <w:p>
      <w:pPr>
        <w:pStyle w:val="Heading1"/>
      </w:pPr>
      <w:r>
        <w:t>7. Data Dictionary</w:t>
      </w:r>
    </w:p>
    <w:p>
      <w:pPr>
        <w:pStyle w:val="Heading2"/>
      </w:pPr>
      <w:r>
        <w:t>7.1 Editable Input Fields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2160"/>
            <w:vAlign w:val="top"/>
            <w:shd w:fill="0F766E"/>
          </w:tcPr>
          <w:p>
            <w:r>
              <w:rPr>
                <w:b/>
                <w:color w:val="FFFFFF"/>
                <w:sz w:val="17"/>
              </w:rPr>
            </w:r>
            <w:r>
              <w:rPr>
                <w:b/>
                <w:color w:val="FFFFFF"/>
                <w:sz w:val="17"/>
              </w:rPr>
              <w:t>Field</w:t>
            </w:r>
          </w:p>
        </w:tc>
        <w:tc>
          <w:tcPr>
            <w:tcW w:type="dxa" w:w="1152"/>
            <w:vAlign w:val="top"/>
            <w:shd w:fill="0F766E"/>
          </w:tcPr>
          <w:p>
            <w:r>
              <w:rPr>
                <w:b/>
                <w:color w:val="FFFFFF"/>
                <w:sz w:val="17"/>
              </w:rPr>
            </w:r>
            <w:r>
              <w:rPr>
                <w:b/>
                <w:color w:val="FFFFFF"/>
                <w:sz w:val="17"/>
              </w:rPr>
              <w:t>Type</w:t>
            </w:r>
          </w:p>
        </w:tc>
        <w:tc>
          <w:tcPr>
            <w:tcW w:type="dxa" w:w="2160"/>
            <w:vAlign w:val="top"/>
            <w:shd w:fill="0F766E"/>
          </w:tcPr>
          <w:p>
            <w:r>
              <w:rPr>
                <w:b/>
                <w:color w:val="FFFFFF"/>
                <w:sz w:val="17"/>
              </w:rPr>
            </w:r>
            <w:r>
              <w:rPr>
                <w:b/>
                <w:color w:val="FFFFFF"/>
                <w:sz w:val="17"/>
              </w:rPr>
              <w:t>Page</w:t>
            </w:r>
          </w:p>
        </w:tc>
        <w:tc>
          <w:tcPr>
            <w:tcW w:type="dxa" w:w="1008"/>
            <w:vAlign w:val="top"/>
            <w:shd w:fill="0F766E"/>
          </w:tcPr>
          <w:p>
            <w:r>
              <w:rPr>
                <w:b/>
                <w:color w:val="FFFFFF"/>
                <w:sz w:val="17"/>
              </w:rPr>
            </w:r>
            <w:r>
              <w:rPr>
                <w:b/>
                <w:color w:val="FFFFFF"/>
                <w:sz w:val="17"/>
              </w:rPr>
              <w:t>Editable</w:t>
            </w:r>
          </w:p>
        </w:tc>
        <w:tc>
          <w:tcPr>
            <w:tcW w:type="dxa" w:w="1296"/>
            <w:vAlign w:val="top"/>
            <w:shd w:fill="0F766E"/>
          </w:tcPr>
          <w:p>
            <w:r>
              <w:rPr>
                <w:b/>
                <w:color w:val="FFFFFF"/>
                <w:sz w:val="17"/>
              </w:rPr>
            </w:r>
            <w:r>
              <w:rPr>
                <w:b/>
                <w:color w:val="FFFFFF"/>
                <w:sz w:val="17"/>
              </w:rPr>
              <w:t>Unit</w:t>
            </w:r>
          </w:p>
        </w:tc>
        <w:tc>
          <w:tcPr>
            <w:tcW w:type="dxa" w:w="2880"/>
            <w:vAlign w:val="top"/>
            <w:shd w:fill="0F766E"/>
          </w:tcPr>
          <w:p>
            <w:r>
              <w:rPr>
                <w:b/>
                <w:color w:val="FFFFFF"/>
                <w:sz w:val="17"/>
              </w:rPr>
            </w:r>
            <w:r>
              <w:rPr>
                <w:b/>
                <w:color w:val="FFFFFF"/>
                <w:sz w:val="17"/>
              </w:rPr>
              <w:t>Validation / note</w:t>
            </w:r>
          </w:p>
        </w:tc>
      </w:tr>
      <w:tr>
        <w:tc>
          <w:tcPr>
            <w:tcW w:type="dxa" w:w="2160"/>
            <w:vAlign w:val="top"/>
          </w:tcPr>
          <w:p>
            <w:r>
              <w:rPr>
                <w:sz w:val="17"/>
              </w:rPr>
            </w:r>
            <w:r>
              <w:rPr>
                <w:b w:val="0"/>
                <w:sz w:val="17"/>
              </w:rPr>
              <w:t>countryId</w:t>
            </w:r>
          </w:p>
        </w:tc>
        <w:tc>
          <w:tcPr>
            <w:tcW w:type="dxa" w:w="1152"/>
            <w:vAlign w:val="top"/>
          </w:tcPr>
          <w:p>
            <w:r>
              <w:rPr>
                <w:sz w:val="17"/>
              </w:rPr>
            </w:r>
            <w:r>
              <w:rPr>
                <w:b w:val="0"/>
                <w:sz w:val="17"/>
              </w:rPr>
              <w:t>integer</w:t>
            </w:r>
          </w:p>
        </w:tc>
        <w:tc>
          <w:tcPr>
            <w:tcW w:type="dxa" w:w="2160"/>
            <w:vAlign w:val="top"/>
          </w:tcPr>
          <w:p>
            <w:r>
              <w:rPr>
                <w:sz w:val="17"/>
              </w:rPr>
            </w:r>
            <w:r>
              <w:rPr>
                <w:b w:val="0"/>
                <w:sz w:val="17"/>
              </w:rPr>
              <w:t>Company &amp; Tax Profile</w:t>
            </w:r>
          </w:p>
        </w:tc>
        <w:tc>
          <w:tcPr>
            <w:tcW w:type="dxa" w:w="1008"/>
            <w:vAlign w:val="top"/>
          </w:tcPr>
          <w:p>
            <w:r>
              <w:rPr>
                <w:sz w:val="17"/>
              </w:rPr>
            </w:r>
            <w:r>
              <w:rPr>
                <w:b w:val="0"/>
                <w:sz w:val="17"/>
              </w:rPr>
              <w:t>yes</w:t>
            </w:r>
          </w:p>
        </w:tc>
        <w:tc>
          <w:tcPr>
            <w:tcW w:type="dxa" w:w="1296"/>
            <w:vAlign w:val="top"/>
          </w:tcPr>
          <w:p>
            <w:r>
              <w:rPr>
                <w:sz w:val="17"/>
              </w:rPr>
            </w:r>
            <w:r>
              <w:rPr>
                <w:b w:val="0"/>
                <w:sz w:val="17"/>
              </w:rPr>
              <w:t>n/a</w:t>
            </w:r>
          </w:p>
        </w:tc>
        <w:tc>
          <w:tcPr>
            <w:tcW w:type="dxa" w:w="2880"/>
            <w:vAlign w:val="top"/>
          </w:tcPr>
          <w:p>
            <w:r>
              <w:rPr>
                <w:sz w:val="17"/>
              </w:rPr>
            </w:r>
            <w:r>
              <w:rPr>
                <w:b w:val="0"/>
                <w:sz w:val="17"/>
              </w:rPr>
              <w:t>Required. Must exist in countries.</w:t>
            </w:r>
          </w:p>
        </w:tc>
      </w:tr>
      <w:tr>
        <w:tc>
          <w:tcPr>
            <w:tcW w:type="dxa" w:w="2160"/>
            <w:vAlign w:val="top"/>
          </w:tcPr>
          <w:p>
            <w:r>
              <w:rPr>
                <w:sz w:val="17"/>
              </w:rPr>
            </w:r>
            <w:r>
              <w:rPr>
                <w:b w:val="0"/>
                <w:sz w:val="17"/>
              </w:rPr>
              <w:t>companyTypeId</w:t>
            </w:r>
          </w:p>
        </w:tc>
        <w:tc>
          <w:tcPr>
            <w:tcW w:type="dxa" w:w="1152"/>
            <w:vAlign w:val="top"/>
          </w:tcPr>
          <w:p>
            <w:r>
              <w:rPr>
                <w:sz w:val="17"/>
              </w:rPr>
            </w:r>
            <w:r>
              <w:rPr>
                <w:b w:val="0"/>
                <w:sz w:val="17"/>
              </w:rPr>
              <w:t>integer</w:t>
            </w:r>
          </w:p>
        </w:tc>
        <w:tc>
          <w:tcPr>
            <w:tcW w:type="dxa" w:w="2160"/>
            <w:vAlign w:val="top"/>
          </w:tcPr>
          <w:p>
            <w:r>
              <w:rPr>
                <w:sz w:val="17"/>
              </w:rPr>
            </w:r>
            <w:r>
              <w:rPr>
                <w:b w:val="0"/>
                <w:sz w:val="17"/>
              </w:rPr>
              <w:t>Company &amp; Tax Profile</w:t>
            </w:r>
          </w:p>
        </w:tc>
        <w:tc>
          <w:tcPr>
            <w:tcW w:type="dxa" w:w="1008"/>
            <w:vAlign w:val="top"/>
          </w:tcPr>
          <w:p>
            <w:r>
              <w:rPr>
                <w:sz w:val="17"/>
              </w:rPr>
            </w:r>
            <w:r>
              <w:rPr>
                <w:b w:val="0"/>
                <w:sz w:val="17"/>
              </w:rPr>
              <w:t>yes</w:t>
            </w:r>
          </w:p>
        </w:tc>
        <w:tc>
          <w:tcPr>
            <w:tcW w:type="dxa" w:w="1296"/>
            <w:vAlign w:val="top"/>
          </w:tcPr>
          <w:p>
            <w:r>
              <w:rPr>
                <w:sz w:val="17"/>
              </w:rPr>
            </w:r>
            <w:r>
              <w:rPr>
                <w:b w:val="0"/>
                <w:sz w:val="17"/>
              </w:rPr>
              <w:t>n/a</w:t>
            </w:r>
          </w:p>
        </w:tc>
        <w:tc>
          <w:tcPr>
            <w:tcW w:type="dxa" w:w="2880"/>
            <w:vAlign w:val="top"/>
          </w:tcPr>
          <w:p>
            <w:r>
              <w:rPr>
                <w:sz w:val="17"/>
              </w:rPr>
            </w:r>
            <w:r>
              <w:rPr>
                <w:b w:val="0"/>
                <w:sz w:val="17"/>
              </w:rPr>
              <w:t>Required. Must belong to selected country.</w:t>
            </w:r>
          </w:p>
        </w:tc>
      </w:tr>
      <w:tr>
        <w:tc>
          <w:tcPr>
            <w:tcW w:type="dxa" w:w="2160"/>
            <w:vAlign w:val="top"/>
          </w:tcPr>
          <w:p>
            <w:r>
              <w:rPr>
                <w:sz w:val="17"/>
              </w:rPr>
            </w:r>
            <w:r>
              <w:rPr>
                <w:b w:val="0"/>
                <w:sz w:val="17"/>
              </w:rPr>
              <w:t>businessModelId</w:t>
            </w:r>
          </w:p>
        </w:tc>
        <w:tc>
          <w:tcPr>
            <w:tcW w:type="dxa" w:w="1152"/>
            <w:vAlign w:val="top"/>
          </w:tcPr>
          <w:p>
            <w:r>
              <w:rPr>
                <w:sz w:val="17"/>
              </w:rPr>
            </w:r>
            <w:r>
              <w:rPr>
                <w:b w:val="0"/>
                <w:sz w:val="17"/>
              </w:rPr>
              <w:t>integer</w:t>
            </w:r>
          </w:p>
        </w:tc>
        <w:tc>
          <w:tcPr>
            <w:tcW w:type="dxa" w:w="2160"/>
            <w:vAlign w:val="top"/>
          </w:tcPr>
          <w:p>
            <w:r>
              <w:rPr>
                <w:sz w:val="17"/>
              </w:rPr>
            </w:r>
            <w:r>
              <w:rPr>
                <w:b w:val="0"/>
                <w:sz w:val="17"/>
              </w:rPr>
              <w:t>Company &amp; Tax Profile</w:t>
            </w:r>
          </w:p>
        </w:tc>
        <w:tc>
          <w:tcPr>
            <w:tcW w:type="dxa" w:w="1008"/>
            <w:vAlign w:val="top"/>
          </w:tcPr>
          <w:p>
            <w:r>
              <w:rPr>
                <w:sz w:val="17"/>
              </w:rPr>
            </w:r>
            <w:r>
              <w:rPr>
                <w:b w:val="0"/>
                <w:sz w:val="17"/>
              </w:rPr>
              <w:t>yes</w:t>
            </w:r>
          </w:p>
        </w:tc>
        <w:tc>
          <w:tcPr>
            <w:tcW w:type="dxa" w:w="1296"/>
            <w:vAlign w:val="top"/>
          </w:tcPr>
          <w:p>
            <w:r>
              <w:rPr>
                <w:sz w:val="17"/>
              </w:rPr>
            </w:r>
            <w:r>
              <w:rPr>
                <w:b w:val="0"/>
                <w:sz w:val="17"/>
              </w:rPr>
              <w:t>n/a</w:t>
            </w:r>
          </w:p>
        </w:tc>
        <w:tc>
          <w:tcPr>
            <w:tcW w:type="dxa" w:w="2880"/>
            <w:vAlign w:val="top"/>
          </w:tcPr>
          <w:p>
            <w:r>
              <w:rPr>
                <w:sz w:val="17"/>
              </w:rPr>
            </w:r>
            <w:r>
              <w:rPr>
                <w:b w:val="0"/>
                <w:sz w:val="17"/>
              </w:rPr>
              <w:t>Required. Must exist in business_models.</w:t>
            </w:r>
          </w:p>
        </w:tc>
      </w:tr>
      <w:tr>
        <w:tc>
          <w:tcPr>
            <w:tcW w:type="dxa" w:w="2160"/>
            <w:vAlign w:val="top"/>
          </w:tcPr>
          <w:p>
            <w:r>
              <w:rPr>
                <w:sz w:val="17"/>
              </w:rPr>
            </w:r>
            <w:r>
              <w:rPr>
                <w:b w:val="0"/>
                <w:sz w:val="17"/>
              </w:rPr>
              <w:t>numberOfTrucks</w:t>
            </w:r>
          </w:p>
        </w:tc>
        <w:tc>
          <w:tcPr>
            <w:tcW w:type="dxa" w:w="1152"/>
            <w:vAlign w:val="top"/>
          </w:tcPr>
          <w:p>
            <w:r>
              <w:rPr>
                <w:sz w:val="17"/>
              </w:rPr>
            </w:r>
            <w:r>
              <w:rPr>
                <w:b w:val="0"/>
                <w:sz w:val="17"/>
              </w:rPr>
              <w:t>number</w:t>
            </w:r>
          </w:p>
        </w:tc>
        <w:tc>
          <w:tcPr>
            <w:tcW w:type="dxa" w:w="2160"/>
            <w:vAlign w:val="top"/>
          </w:tcPr>
          <w:p>
            <w:r>
              <w:rPr>
                <w:sz w:val="17"/>
              </w:rPr>
            </w:r>
            <w:r>
              <w:rPr>
                <w:b w:val="0"/>
                <w:sz w:val="17"/>
              </w:rPr>
              <w:t>Company &amp; Tax Profile</w:t>
            </w:r>
          </w:p>
        </w:tc>
        <w:tc>
          <w:tcPr>
            <w:tcW w:type="dxa" w:w="1008"/>
            <w:vAlign w:val="top"/>
          </w:tcPr>
          <w:p>
            <w:r>
              <w:rPr>
                <w:sz w:val="17"/>
              </w:rPr>
            </w:r>
            <w:r>
              <w:rPr>
                <w:b w:val="0"/>
                <w:sz w:val="17"/>
              </w:rPr>
              <w:t>yes</w:t>
            </w:r>
          </w:p>
        </w:tc>
        <w:tc>
          <w:tcPr>
            <w:tcW w:type="dxa" w:w="1296"/>
            <w:vAlign w:val="top"/>
          </w:tcPr>
          <w:p>
            <w:r>
              <w:rPr>
                <w:sz w:val="17"/>
              </w:rPr>
            </w:r>
            <w:r>
              <w:rPr>
                <w:b w:val="0"/>
                <w:sz w:val="17"/>
              </w:rPr>
              <w:t>trucks</w:t>
            </w:r>
          </w:p>
        </w:tc>
        <w:tc>
          <w:tcPr>
            <w:tcW w:type="dxa" w:w="2880"/>
            <w:vAlign w:val="top"/>
          </w:tcPr>
          <w:p>
            <w:r>
              <w:rPr>
                <w:sz w:val="17"/>
              </w:rPr>
            </w:r>
            <w:r>
              <w:rPr>
                <w:b w:val="0"/>
                <w:sz w:val="17"/>
              </w:rPr>
              <w:t>&gt;= 1. Used for company-level totals.</w:t>
            </w:r>
          </w:p>
        </w:tc>
      </w:tr>
      <w:tr>
        <w:tc>
          <w:tcPr>
            <w:tcW w:type="dxa" w:w="2160"/>
            <w:vAlign w:val="top"/>
          </w:tcPr>
          <w:p>
            <w:r>
              <w:rPr>
                <w:sz w:val="17"/>
              </w:rPr>
            </w:r>
            <w:r>
              <w:rPr>
                <w:b w:val="0"/>
                <w:sz w:val="17"/>
              </w:rPr>
              <w:t>vehicleClassId</w:t>
            </w:r>
          </w:p>
        </w:tc>
        <w:tc>
          <w:tcPr>
            <w:tcW w:type="dxa" w:w="1152"/>
            <w:vAlign w:val="top"/>
          </w:tcPr>
          <w:p>
            <w:r>
              <w:rPr>
                <w:sz w:val="17"/>
              </w:rPr>
            </w:r>
            <w:r>
              <w:rPr>
                <w:b w:val="0"/>
                <w:sz w:val="17"/>
              </w:rPr>
              <w:t>integer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n/a</w:t>
            </w:r>
          </w:p>
        </w:tc>
        <w:tc>
          <w:tcPr>
            <w:tcW w:type="dxa" w:w="2880"/>
            <w:vAlign w:val="top"/>
          </w:tcPr>
          <w:p>
            <w:r>
              <w:rPr>
                <w:sz w:val="17"/>
              </w:rPr>
            </w:r>
            <w:r>
              <w:rPr>
                <w:b w:val="0"/>
                <w:sz w:val="17"/>
              </w:rPr>
              <w:t>Must exist in vehicle_classes.</w:t>
            </w:r>
          </w:p>
        </w:tc>
      </w:tr>
      <w:tr>
        <w:tc>
          <w:tcPr>
            <w:tcW w:type="dxa" w:w="2160"/>
            <w:vAlign w:val="top"/>
          </w:tcPr>
          <w:p>
            <w:r>
              <w:rPr>
                <w:sz w:val="17"/>
              </w:rPr>
            </w:r>
            <w:r>
              <w:rPr>
                <w:b w:val="0"/>
                <w:sz w:val="17"/>
              </w:rPr>
              <w:t>dailyKm</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km/day</w:t>
            </w:r>
          </w:p>
        </w:tc>
        <w:tc>
          <w:tcPr>
            <w:tcW w:type="dxa" w:w="2880"/>
            <w:vAlign w:val="top"/>
          </w:tcPr>
          <w:p>
            <w:r>
              <w:rPr>
                <w:sz w:val="17"/>
              </w:rPr>
            </w:r>
            <w:r>
              <w:rPr>
                <w:b w:val="0"/>
                <w:sz w:val="17"/>
              </w:rPr>
              <w:t>&gt; 0. Core planning driver.</w:t>
            </w:r>
          </w:p>
        </w:tc>
      </w:tr>
      <w:tr>
        <w:tc>
          <w:tcPr>
            <w:tcW w:type="dxa" w:w="2160"/>
            <w:vAlign w:val="top"/>
          </w:tcPr>
          <w:p>
            <w:r>
              <w:rPr>
                <w:sz w:val="17"/>
              </w:rPr>
            </w:r>
            <w:r>
              <w:rPr>
                <w:b w:val="0"/>
                <w:sz w:val="17"/>
              </w:rPr>
              <w:t>operatingDaysPerYear</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days/year</w:t>
            </w:r>
          </w:p>
        </w:tc>
        <w:tc>
          <w:tcPr>
            <w:tcW w:type="dxa" w:w="2880"/>
            <w:vAlign w:val="top"/>
          </w:tcPr>
          <w:p>
            <w:r>
              <w:rPr>
                <w:sz w:val="17"/>
              </w:rPr>
            </w:r>
            <w:r>
              <w:rPr>
                <w:b w:val="0"/>
                <w:sz w:val="17"/>
              </w:rPr>
              <w:t>&gt; 0 and &lt;= 365.</w:t>
            </w:r>
          </w:p>
        </w:tc>
      </w:tr>
      <w:tr>
        <w:tc>
          <w:tcPr>
            <w:tcW w:type="dxa" w:w="2160"/>
            <w:vAlign w:val="top"/>
          </w:tcPr>
          <w:p>
            <w:r>
              <w:rPr>
                <w:sz w:val="17"/>
              </w:rPr>
            </w:r>
            <w:r>
              <w:rPr>
                <w:b w:val="0"/>
                <w:sz w:val="17"/>
              </w:rPr>
              <w:t>loadFactor</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ratio</w:t>
            </w:r>
          </w:p>
        </w:tc>
        <w:tc>
          <w:tcPr>
            <w:tcW w:type="dxa" w:w="2880"/>
            <w:vAlign w:val="top"/>
          </w:tcPr>
          <w:p>
            <w:r>
              <w:rPr>
                <w:sz w:val="17"/>
              </w:rPr>
            </w:r>
            <w:r>
              <w:rPr>
                <w:b w:val="0"/>
                <w:sz w:val="17"/>
              </w:rPr>
              <w:t>0 &lt; value &lt;= 1. Loaded km share of total km.</w:t>
            </w:r>
          </w:p>
        </w:tc>
      </w:tr>
      <w:tr>
        <w:tc>
          <w:tcPr>
            <w:tcW w:type="dxa" w:w="2160"/>
            <w:vAlign w:val="top"/>
          </w:tcPr>
          <w:p>
            <w:r>
              <w:rPr>
                <w:sz w:val="17"/>
              </w:rPr>
            </w:r>
            <w:r>
              <w:rPr>
                <w:b w:val="0"/>
                <w:sz w:val="17"/>
              </w:rPr>
              <w:t>payloadCapacityTons</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tons</w:t>
            </w:r>
          </w:p>
        </w:tc>
        <w:tc>
          <w:tcPr>
            <w:tcW w:type="dxa" w:w="2880"/>
            <w:vAlign w:val="top"/>
          </w:tcPr>
          <w:p>
            <w:r>
              <w:rPr>
                <w:sz w:val="17"/>
              </w:rPr>
            </w:r>
            <w:r>
              <w:rPr>
                <w:b w:val="0"/>
                <w:sz w:val="17"/>
              </w:rPr>
              <w:t>&gt; 0. May be defaulted from vehicle class.</w:t>
            </w:r>
          </w:p>
        </w:tc>
      </w:tr>
      <w:tr>
        <w:tc>
          <w:tcPr>
            <w:tcW w:type="dxa" w:w="2160"/>
            <w:vAlign w:val="top"/>
          </w:tcPr>
          <w:p>
            <w:r>
              <w:rPr>
                <w:sz w:val="17"/>
              </w:rPr>
            </w:r>
            <w:r>
              <w:rPr>
                <w:b w:val="0"/>
                <w:sz w:val="17"/>
              </w:rPr>
              <w:t>payloadUtilisation</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ratio</w:t>
            </w:r>
          </w:p>
        </w:tc>
        <w:tc>
          <w:tcPr>
            <w:tcW w:type="dxa" w:w="2880"/>
            <w:vAlign w:val="top"/>
          </w:tcPr>
          <w:p>
            <w:r>
              <w:rPr>
                <w:sz w:val="17"/>
              </w:rPr>
            </w:r>
            <w:r>
              <w:rPr>
                <w:b w:val="0"/>
                <w:sz w:val="17"/>
              </w:rPr>
              <w:t>0 &lt; value &lt;= 1.</w:t>
            </w:r>
          </w:p>
        </w:tc>
      </w:tr>
      <w:tr>
        <w:tc>
          <w:tcPr>
            <w:tcW w:type="dxa" w:w="2160"/>
            <w:vAlign w:val="top"/>
          </w:tcPr>
          <w:p>
            <w:r>
              <w:rPr>
                <w:sz w:val="17"/>
              </w:rPr>
            </w:r>
            <w:r>
              <w:rPr>
                <w:b w:val="0"/>
                <w:sz w:val="17"/>
              </w:rPr>
              <w:t>fuelConsumptionLPer100Km</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l/100km</w:t>
            </w:r>
          </w:p>
        </w:tc>
        <w:tc>
          <w:tcPr>
            <w:tcW w:type="dxa" w:w="2880"/>
            <w:vAlign w:val="top"/>
          </w:tcPr>
          <w:p>
            <w:r>
              <w:rPr>
                <w:sz w:val="17"/>
              </w:rPr>
            </w:r>
            <w:r>
              <w:rPr>
                <w:b w:val="0"/>
                <w:sz w:val="17"/>
              </w:rPr>
              <w:t>&gt; 0.</w:t>
            </w:r>
          </w:p>
        </w:tc>
      </w:tr>
      <w:tr>
        <w:tc>
          <w:tcPr>
            <w:tcW w:type="dxa" w:w="2160"/>
            <w:vAlign w:val="top"/>
          </w:tcPr>
          <w:p>
            <w:r>
              <w:rPr>
                <w:sz w:val="17"/>
              </w:rPr>
            </w:r>
            <w:r>
              <w:rPr>
                <w:b w:val="0"/>
                <w:sz w:val="17"/>
              </w:rPr>
              <w:t>fuelPricePerLiter</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EUR/litre</w:t>
            </w:r>
          </w:p>
        </w:tc>
        <w:tc>
          <w:tcPr>
            <w:tcW w:type="dxa" w:w="2880"/>
            <w:vAlign w:val="top"/>
          </w:tcPr>
          <w:p>
            <w:r>
              <w:rPr>
                <w:sz w:val="17"/>
              </w:rPr>
            </w:r>
            <w:r>
              <w:rPr>
                <w:b w:val="0"/>
                <w:sz w:val="17"/>
              </w:rPr>
              <w:t>&gt; 0.</w:t>
            </w:r>
          </w:p>
        </w:tc>
      </w:tr>
      <w:tr>
        <w:tc>
          <w:tcPr>
            <w:tcW w:type="dxa" w:w="2160"/>
            <w:vAlign w:val="top"/>
          </w:tcPr>
          <w:p>
            <w:r>
              <w:rPr>
                <w:sz w:val="17"/>
              </w:rPr>
            </w:r>
            <w:r>
              <w:rPr>
                <w:b w:val="0"/>
                <w:sz w:val="17"/>
              </w:rPr>
              <w:t>tyresAnnualCost</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w:t>
            </w:r>
          </w:p>
        </w:tc>
      </w:tr>
      <w:tr>
        <w:tc>
          <w:tcPr>
            <w:tcW w:type="dxa" w:w="2160"/>
            <w:vAlign w:val="top"/>
          </w:tcPr>
          <w:p>
            <w:r>
              <w:rPr>
                <w:sz w:val="17"/>
              </w:rPr>
            </w:r>
            <w:r>
              <w:rPr>
                <w:b w:val="0"/>
                <w:sz w:val="17"/>
              </w:rPr>
              <w:t>maintenanceAnnualCost</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w:t>
            </w:r>
          </w:p>
        </w:tc>
      </w:tr>
      <w:tr>
        <w:tc>
          <w:tcPr>
            <w:tcW w:type="dxa" w:w="2160"/>
            <w:vAlign w:val="top"/>
          </w:tcPr>
          <w:p>
            <w:r>
              <w:rPr>
                <w:sz w:val="17"/>
              </w:rPr>
            </w:r>
            <w:r>
              <w:rPr>
                <w:b w:val="0"/>
                <w:sz w:val="17"/>
              </w:rPr>
              <w:t>roadFeesAnnualCost</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w:t>
            </w:r>
          </w:p>
        </w:tc>
      </w:tr>
      <w:tr>
        <w:tc>
          <w:tcPr>
            <w:tcW w:type="dxa" w:w="2160"/>
            <w:vAlign w:val="top"/>
          </w:tcPr>
          <w:p>
            <w:r>
              <w:rPr>
                <w:sz w:val="17"/>
              </w:rPr>
            </w:r>
            <w:r>
              <w:rPr>
                <w:b w:val="0"/>
                <w:sz w:val="17"/>
              </w:rPr>
              <w:t>driverSalaryAnnual</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 Gross annual salary assumption.</w:t>
            </w:r>
          </w:p>
        </w:tc>
      </w:tr>
      <w:tr>
        <w:tc>
          <w:tcPr>
            <w:tcW w:type="dxa" w:w="2160"/>
            <w:vAlign w:val="top"/>
          </w:tcPr>
          <w:p>
            <w:r>
              <w:rPr>
                <w:sz w:val="17"/>
              </w:rPr>
            </w:r>
            <w:r>
              <w:rPr>
                <w:b w:val="0"/>
                <w:sz w:val="17"/>
              </w:rPr>
              <w:t>driverPerDiemDaily</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EUR/day</w:t>
            </w:r>
          </w:p>
        </w:tc>
        <w:tc>
          <w:tcPr>
            <w:tcW w:type="dxa" w:w="2880"/>
            <w:vAlign w:val="top"/>
          </w:tcPr>
          <w:p>
            <w:r>
              <w:rPr>
                <w:sz w:val="17"/>
              </w:rPr>
            </w:r>
            <w:r>
              <w:rPr>
                <w:b w:val="0"/>
                <w:sz w:val="17"/>
              </w:rPr>
              <w:t>&gt;= 0.</w:t>
            </w:r>
          </w:p>
        </w:tc>
      </w:tr>
      <w:tr>
        <w:tc>
          <w:tcPr>
            <w:tcW w:type="dxa" w:w="2160"/>
            <w:vAlign w:val="top"/>
          </w:tcPr>
          <w:p>
            <w:r>
              <w:rPr>
                <w:sz w:val="17"/>
              </w:rPr>
            </w:r>
            <w:r>
              <w:rPr>
                <w:b w:val="0"/>
                <w:sz w:val="17"/>
              </w:rPr>
              <w:t>ownershipOrLeasingAnnual</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w:t>
            </w:r>
          </w:p>
        </w:tc>
      </w:tr>
      <w:tr>
        <w:tc>
          <w:tcPr>
            <w:tcW w:type="dxa" w:w="2160"/>
            <w:vAlign w:val="top"/>
          </w:tcPr>
          <w:p>
            <w:r>
              <w:rPr>
                <w:sz w:val="17"/>
              </w:rPr>
            </w:r>
            <w:r>
              <w:rPr>
                <w:b w:val="0"/>
                <w:sz w:val="17"/>
              </w:rPr>
              <w:t>insuranceAnnual</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w:t>
            </w:r>
          </w:p>
        </w:tc>
      </w:tr>
      <w:tr>
        <w:tc>
          <w:tcPr>
            <w:tcW w:type="dxa" w:w="2160"/>
            <w:vAlign w:val="top"/>
          </w:tcPr>
          <w:p>
            <w:r>
              <w:rPr>
                <w:sz w:val="17"/>
              </w:rPr>
            </w:r>
            <w:r>
              <w:rPr>
                <w:b w:val="0"/>
                <w:sz w:val="17"/>
              </w:rPr>
              <w:t>vehicleTaxAnnual</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 Defaulted from tax profile but editable in input scenario.</w:t>
            </w:r>
          </w:p>
        </w:tc>
      </w:tr>
      <w:tr>
        <w:tc>
          <w:tcPr>
            <w:tcW w:type="dxa" w:w="2160"/>
            <w:vAlign w:val="top"/>
          </w:tcPr>
          <w:p>
            <w:r>
              <w:rPr>
                <w:sz w:val="17"/>
              </w:rPr>
            </w:r>
            <w:r>
              <w:rPr>
                <w:b w:val="0"/>
                <w:sz w:val="17"/>
              </w:rPr>
              <w:t>structuralIndirectCostsAnnual</w:t>
            </w:r>
          </w:p>
        </w:tc>
        <w:tc>
          <w:tcPr>
            <w:tcW w:type="dxa" w:w="1152"/>
            <w:vAlign w:val="top"/>
          </w:tcPr>
          <w:p>
            <w:r>
              <w:rPr>
                <w:sz w:val="17"/>
              </w:rPr>
            </w:r>
            <w:r>
              <w:rPr>
                <w:b w:val="0"/>
                <w:sz w:val="17"/>
              </w:rPr>
              <w:t>number</w:t>
            </w:r>
          </w:p>
        </w:tc>
        <w:tc>
          <w:tcPr>
            <w:tcW w:type="dxa" w:w="2160"/>
            <w:vAlign w:val="top"/>
          </w:tcPr>
          <w:p>
            <w:r>
              <w:rPr>
                <w:sz w:val="17"/>
              </w:rPr>
            </w:r>
            <w:r>
              <w:rPr>
                <w:b w:val="0"/>
                <w:sz w:val="17"/>
              </w:rPr>
              <w:t>Transport Inputs</w:t>
            </w:r>
          </w:p>
        </w:tc>
        <w:tc>
          <w:tcPr>
            <w:tcW w:type="dxa" w:w="1008"/>
            <w:vAlign w:val="top"/>
          </w:tcPr>
          <w:p>
            <w:r>
              <w:rPr>
                <w:sz w:val="17"/>
              </w:rPr>
            </w:r>
            <w:r>
              <w:rPr>
                <w:b w:val="0"/>
                <w:sz w:val="17"/>
              </w:rPr>
              <w:t>yes</w:t>
            </w:r>
          </w:p>
        </w:tc>
        <w:tc>
          <w:tcPr>
            <w:tcW w:type="dxa" w:w="1296"/>
            <w:vAlign w:val="top"/>
          </w:tcPr>
          <w:p>
            <w:r>
              <w:rPr>
                <w:sz w:val="17"/>
              </w:rPr>
            </w:r>
            <w:r>
              <w:rPr>
                <w:b w:val="0"/>
                <w:sz w:val="17"/>
              </w:rPr>
              <w:t>EUR/year</w:t>
            </w:r>
          </w:p>
        </w:tc>
        <w:tc>
          <w:tcPr>
            <w:tcW w:type="dxa" w:w="2880"/>
            <w:vAlign w:val="top"/>
          </w:tcPr>
          <w:p>
            <w:r>
              <w:rPr>
                <w:sz w:val="17"/>
              </w:rPr>
            </w:r>
            <w:r>
              <w:rPr>
                <w:b w:val="0"/>
                <w:sz w:val="17"/>
              </w:rPr>
              <w:t>&gt;= 0.</w:t>
            </w:r>
          </w:p>
        </w:tc>
      </w:tr>
      <w:tr>
        <w:tc>
          <w:tcPr>
            <w:tcW w:type="dxa" w:w="2160"/>
            <w:vAlign w:val="top"/>
          </w:tcPr>
          <w:p>
            <w:r>
              <w:rPr>
                <w:sz w:val="17"/>
              </w:rPr>
            </w:r>
            <w:r>
              <w:rPr>
                <w:b w:val="0"/>
                <w:sz w:val="17"/>
              </w:rPr>
              <w:t>markupPercentage</w:t>
            </w:r>
          </w:p>
        </w:tc>
        <w:tc>
          <w:tcPr>
            <w:tcW w:type="dxa" w:w="1152"/>
            <w:vAlign w:val="top"/>
          </w:tcPr>
          <w:p>
            <w:r>
              <w:rPr>
                <w:sz w:val="17"/>
              </w:rPr>
            </w:r>
            <w:r>
              <w:rPr>
                <w:b w:val="0"/>
                <w:sz w:val="17"/>
              </w:rPr>
              <w:t>number</w:t>
            </w:r>
          </w:p>
        </w:tc>
        <w:tc>
          <w:tcPr>
            <w:tcW w:type="dxa" w:w="2160"/>
            <w:vAlign w:val="top"/>
          </w:tcPr>
          <w:p>
            <w:r>
              <w:rPr>
                <w:sz w:val="17"/>
              </w:rPr>
            </w:r>
            <w:r>
              <w:rPr>
                <w:b w:val="0"/>
                <w:sz w:val="17"/>
              </w:rPr>
              <w:t>Pricing Scenarios</w:t>
            </w:r>
          </w:p>
        </w:tc>
        <w:tc>
          <w:tcPr>
            <w:tcW w:type="dxa" w:w="1008"/>
            <w:vAlign w:val="top"/>
          </w:tcPr>
          <w:p>
            <w:r>
              <w:rPr>
                <w:sz w:val="17"/>
              </w:rPr>
            </w:r>
            <w:r>
              <w:rPr>
                <w:b w:val="0"/>
                <w:sz w:val="17"/>
              </w:rPr>
              <w:t>yes</w:t>
            </w:r>
          </w:p>
        </w:tc>
        <w:tc>
          <w:tcPr>
            <w:tcW w:type="dxa" w:w="1296"/>
            <w:vAlign w:val="top"/>
          </w:tcPr>
          <w:p>
            <w:r>
              <w:rPr>
                <w:sz w:val="17"/>
              </w:rPr>
            </w:r>
            <w:r>
              <w:rPr>
                <w:b w:val="0"/>
                <w:sz w:val="17"/>
              </w:rPr>
              <w:t>ratio</w:t>
            </w:r>
          </w:p>
        </w:tc>
        <w:tc>
          <w:tcPr>
            <w:tcW w:type="dxa" w:w="2880"/>
            <w:vAlign w:val="top"/>
          </w:tcPr>
          <w:p>
            <w:r>
              <w:rPr>
                <w:sz w:val="17"/>
              </w:rPr>
            </w:r>
            <w:r>
              <w:rPr>
                <w:b w:val="0"/>
                <w:sz w:val="17"/>
              </w:rPr>
              <w:t>&gt;= 0. Used after break-even.</w:t>
            </w:r>
          </w:p>
        </w:tc>
      </w:tr>
      <w:tr>
        <w:tc>
          <w:tcPr>
            <w:tcW w:type="dxa" w:w="2160"/>
            <w:vAlign w:val="top"/>
          </w:tcPr>
          <w:p>
            <w:r>
              <w:rPr>
                <w:sz w:val="17"/>
              </w:rPr>
            </w:r>
            <w:r>
              <w:rPr>
                <w:b w:val="0"/>
                <w:sz w:val="17"/>
              </w:rPr>
              <w:t>targetAfterTaxMargin</w:t>
            </w:r>
          </w:p>
        </w:tc>
        <w:tc>
          <w:tcPr>
            <w:tcW w:type="dxa" w:w="1152"/>
            <w:vAlign w:val="top"/>
          </w:tcPr>
          <w:p>
            <w:r>
              <w:rPr>
                <w:sz w:val="17"/>
              </w:rPr>
            </w:r>
            <w:r>
              <w:rPr>
                <w:b w:val="0"/>
                <w:sz w:val="17"/>
              </w:rPr>
              <w:t>number</w:t>
            </w:r>
          </w:p>
        </w:tc>
        <w:tc>
          <w:tcPr>
            <w:tcW w:type="dxa" w:w="2160"/>
            <w:vAlign w:val="top"/>
          </w:tcPr>
          <w:p>
            <w:r>
              <w:rPr>
                <w:sz w:val="17"/>
              </w:rPr>
            </w:r>
            <w:r>
              <w:rPr>
                <w:b w:val="0"/>
                <w:sz w:val="17"/>
              </w:rPr>
              <w:t>Pricing Scenarios</w:t>
            </w:r>
          </w:p>
        </w:tc>
        <w:tc>
          <w:tcPr>
            <w:tcW w:type="dxa" w:w="1008"/>
            <w:vAlign w:val="top"/>
          </w:tcPr>
          <w:p>
            <w:r>
              <w:rPr>
                <w:sz w:val="17"/>
              </w:rPr>
            </w:r>
            <w:r>
              <w:rPr>
                <w:b w:val="0"/>
                <w:sz w:val="17"/>
              </w:rPr>
              <w:t>yes</w:t>
            </w:r>
          </w:p>
        </w:tc>
        <w:tc>
          <w:tcPr>
            <w:tcW w:type="dxa" w:w="1296"/>
            <w:vAlign w:val="top"/>
          </w:tcPr>
          <w:p>
            <w:r>
              <w:rPr>
                <w:sz w:val="17"/>
              </w:rPr>
            </w:r>
            <w:r>
              <w:rPr>
                <w:b w:val="0"/>
                <w:sz w:val="17"/>
              </w:rPr>
              <w:t>ratio</w:t>
            </w:r>
          </w:p>
        </w:tc>
        <w:tc>
          <w:tcPr>
            <w:tcW w:type="dxa" w:w="2880"/>
            <w:vAlign w:val="top"/>
          </w:tcPr>
          <w:p>
            <w:r>
              <w:rPr>
                <w:sz w:val="17"/>
              </w:rPr>
            </w:r>
            <w:r>
              <w:rPr>
                <w:b w:val="0"/>
                <w:sz w:val="17"/>
              </w:rPr>
              <w:t>0 &lt;= value &lt; 1.</w:t>
            </w:r>
          </w:p>
        </w:tc>
      </w:tr>
    </w:tbl>
    <w:p>
      <w:pPr>
        <w:pStyle w:val="Heading2"/>
      </w:pPr>
      <w:r>
        <w:t>7.2 Computed Output Fields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0F766E"/>
          </w:tcPr>
          <w:p>
            <w:r>
              <w:rPr>
                <w:b/>
                <w:color w:val="FFFFFF"/>
                <w:sz w:val="17"/>
              </w:rPr>
            </w:r>
            <w:r>
              <w:rPr>
                <w:b/>
                <w:color w:val="FFFFFF"/>
                <w:sz w:val="17"/>
              </w:rPr>
              <w:t>Field</w:t>
            </w:r>
          </w:p>
        </w:tc>
        <w:tc>
          <w:tcPr>
            <w:tcW w:type="dxa" w:w="1152"/>
            <w:vAlign w:val="top"/>
            <w:shd w:fill="0F766E"/>
          </w:tcPr>
          <w:p>
            <w:r>
              <w:rPr>
                <w:b/>
                <w:color w:val="FFFFFF"/>
                <w:sz w:val="17"/>
              </w:rPr>
            </w:r>
            <w:r>
              <w:rPr>
                <w:b/>
                <w:color w:val="FFFFFF"/>
                <w:sz w:val="17"/>
              </w:rPr>
              <w:t>Type</w:t>
            </w:r>
          </w:p>
        </w:tc>
        <w:tc>
          <w:tcPr>
            <w:tcW w:type="dxa" w:w="1728"/>
            <w:vAlign w:val="top"/>
            <w:shd w:fill="0F766E"/>
          </w:tcPr>
          <w:p>
            <w:r>
              <w:rPr>
                <w:b/>
                <w:color w:val="FFFFFF"/>
                <w:sz w:val="17"/>
              </w:rPr>
            </w:r>
            <w:r>
              <w:rPr>
                <w:b/>
                <w:color w:val="FFFFFF"/>
                <w:sz w:val="17"/>
              </w:rPr>
              <w:t>Unit</w:t>
            </w:r>
          </w:p>
        </w:tc>
        <w:tc>
          <w:tcPr>
            <w:tcW w:type="dxa" w:w="5472"/>
            <w:vAlign w:val="top"/>
            <w:shd w:fill="0F766E"/>
          </w:tcPr>
          <w:p>
            <w:r>
              <w:rPr>
                <w:b/>
                <w:color w:val="FFFFFF"/>
                <w:sz w:val="17"/>
              </w:rPr>
            </w:r>
            <w:r>
              <w:rPr>
                <w:b/>
                <w:color w:val="FFFFFF"/>
                <w:sz w:val="17"/>
              </w:rPr>
              <w:t>Business meaning / formula</w:t>
            </w:r>
          </w:p>
        </w:tc>
      </w:tr>
      <w:tr>
        <w:tc>
          <w:tcPr>
            <w:tcW w:type="dxa" w:w="2592"/>
            <w:vAlign w:val="top"/>
          </w:tcPr>
          <w:p>
            <w:r>
              <w:rPr>
                <w:sz w:val="17"/>
              </w:rPr>
            </w:r>
            <w:r>
              <w:rPr>
                <w:b w:val="0"/>
                <w:sz w:val="17"/>
              </w:rPr>
              <w:t>annualTotalKm</w:t>
            </w:r>
          </w:p>
        </w:tc>
        <w:tc>
          <w:tcPr>
            <w:tcW w:type="dxa" w:w="1152"/>
            <w:vAlign w:val="top"/>
          </w:tcPr>
          <w:p>
            <w:r>
              <w:rPr>
                <w:sz w:val="17"/>
              </w:rPr>
            </w:r>
            <w:r>
              <w:rPr>
                <w:b w:val="0"/>
                <w:sz w:val="17"/>
              </w:rPr>
              <w:t>number</w:t>
            </w:r>
          </w:p>
        </w:tc>
        <w:tc>
          <w:tcPr>
            <w:tcW w:type="dxa" w:w="1728"/>
            <w:vAlign w:val="top"/>
          </w:tcPr>
          <w:p>
            <w:r>
              <w:rPr>
                <w:sz w:val="17"/>
              </w:rPr>
            </w:r>
            <w:r>
              <w:rPr>
                <w:b w:val="0"/>
                <w:sz w:val="17"/>
              </w:rPr>
              <w:t>km/year</w:t>
            </w:r>
          </w:p>
        </w:tc>
        <w:tc>
          <w:tcPr>
            <w:tcW w:type="dxa" w:w="5472"/>
            <w:vAlign w:val="top"/>
          </w:tcPr>
          <w:p>
            <w:r>
              <w:rPr>
                <w:sz w:val="17"/>
              </w:rPr>
            </w:r>
            <w:r>
              <w:rPr>
                <w:b w:val="0"/>
                <w:sz w:val="17"/>
              </w:rPr>
              <w:t>dailyKm x operatingDaysPerYear</w:t>
            </w:r>
          </w:p>
        </w:tc>
      </w:tr>
      <w:tr>
        <w:tc>
          <w:tcPr>
            <w:tcW w:type="dxa" w:w="2592"/>
            <w:vAlign w:val="top"/>
          </w:tcPr>
          <w:p>
            <w:r>
              <w:rPr>
                <w:sz w:val="17"/>
              </w:rPr>
            </w:r>
            <w:r>
              <w:rPr>
                <w:b w:val="0"/>
                <w:sz w:val="17"/>
              </w:rPr>
              <w:t>loadedKmYear</w:t>
            </w:r>
          </w:p>
        </w:tc>
        <w:tc>
          <w:tcPr>
            <w:tcW w:type="dxa" w:w="1152"/>
            <w:vAlign w:val="top"/>
          </w:tcPr>
          <w:p>
            <w:r>
              <w:rPr>
                <w:sz w:val="17"/>
              </w:rPr>
            </w:r>
            <w:r>
              <w:rPr>
                <w:b w:val="0"/>
                <w:sz w:val="17"/>
              </w:rPr>
              <w:t>number</w:t>
            </w:r>
          </w:p>
        </w:tc>
        <w:tc>
          <w:tcPr>
            <w:tcW w:type="dxa" w:w="1728"/>
            <w:vAlign w:val="top"/>
          </w:tcPr>
          <w:p>
            <w:r>
              <w:rPr>
                <w:sz w:val="17"/>
              </w:rPr>
            </w:r>
            <w:r>
              <w:rPr>
                <w:b w:val="0"/>
                <w:sz w:val="17"/>
              </w:rPr>
              <w:t>km/year</w:t>
            </w:r>
          </w:p>
        </w:tc>
        <w:tc>
          <w:tcPr>
            <w:tcW w:type="dxa" w:w="5472"/>
            <w:vAlign w:val="top"/>
          </w:tcPr>
          <w:p>
            <w:r>
              <w:rPr>
                <w:sz w:val="17"/>
              </w:rPr>
            </w:r>
            <w:r>
              <w:rPr>
                <w:b w:val="0"/>
                <w:sz w:val="17"/>
              </w:rPr>
              <w:t>annualTotalKm x loadFactor</w:t>
            </w:r>
          </w:p>
        </w:tc>
      </w:tr>
      <w:tr>
        <w:tc>
          <w:tcPr>
            <w:tcW w:type="dxa" w:w="2592"/>
            <w:vAlign w:val="top"/>
          </w:tcPr>
          <w:p>
            <w:r>
              <w:rPr>
                <w:sz w:val="17"/>
              </w:rPr>
            </w:r>
            <w:r>
              <w:rPr>
                <w:b w:val="0"/>
                <w:sz w:val="17"/>
              </w:rPr>
              <w:t>effectivePayloadTons</w:t>
            </w:r>
          </w:p>
        </w:tc>
        <w:tc>
          <w:tcPr>
            <w:tcW w:type="dxa" w:w="1152"/>
            <w:vAlign w:val="top"/>
          </w:tcPr>
          <w:p>
            <w:r>
              <w:rPr>
                <w:sz w:val="17"/>
              </w:rPr>
            </w:r>
            <w:r>
              <w:rPr>
                <w:b w:val="0"/>
                <w:sz w:val="17"/>
              </w:rPr>
              <w:t>number</w:t>
            </w:r>
          </w:p>
        </w:tc>
        <w:tc>
          <w:tcPr>
            <w:tcW w:type="dxa" w:w="1728"/>
            <w:vAlign w:val="top"/>
          </w:tcPr>
          <w:p>
            <w:r>
              <w:rPr>
                <w:sz w:val="17"/>
              </w:rPr>
            </w:r>
            <w:r>
              <w:rPr>
                <w:b w:val="0"/>
                <w:sz w:val="17"/>
              </w:rPr>
              <w:t>tons</w:t>
            </w:r>
          </w:p>
        </w:tc>
        <w:tc>
          <w:tcPr>
            <w:tcW w:type="dxa" w:w="5472"/>
            <w:vAlign w:val="top"/>
          </w:tcPr>
          <w:p>
            <w:r>
              <w:rPr>
                <w:sz w:val="17"/>
              </w:rPr>
            </w:r>
            <w:r>
              <w:rPr>
                <w:b w:val="0"/>
                <w:sz w:val="17"/>
              </w:rPr>
              <w:t>payloadCapacityTons x payloadUtilisation</w:t>
            </w:r>
          </w:p>
        </w:tc>
      </w:tr>
      <w:tr>
        <w:tc>
          <w:tcPr>
            <w:tcW w:type="dxa" w:w="2592"/>
            <w:vAlign w:val="top"/>
          </w:tcPr>
          <w:p>
            <w:r>
              <w:rPr>
                <w:sz w:val="17"/>
              </w:rPr>
            </w:r>
            <w:r>
              <w:rPr>
                <w:b w:val="0"/>
                <w:sz w:val="17"/>
              </w:rPr>
              <w:t>annualTonneKm</w:t>
            </w:r>
          </w:p>
        </w:tc>
        <w:tc>
          <w:tcPr>
            <w:tcW w:type="dxa" w:w="1152"/>
            <w:vAlign w:val="top"/>
          </w:tcPr>
          <w:p>
            <w:r>
              <w:rPr>
                <w:sz w:val="17"/>
              </w:rPr>
            </w:r>
            <w:r>
              <w:rPr>
                <w:b w:val="0"/>
                <w:sz w:val="17"/>
              </w:rPr>
              <w:t>number</w:t>
            </w:r>
          </w:p>
        </w:tc>
        <w:tc>
          <w:tcPr>
            <w:tcW w:type="dxa" w:w="1728"/>
            <w:vAlign w:val="top"/>
          </w:tcPr>
          <w:p>
            <w:r>
              <w:rPr>
                <w:sz w:val="17"/>
              </w:rPr>
            </w:r>
            <w:r>
              <w:rPr>
                <w:b w:val="0"/>
                <w:sz w:val="17"/>
              </w:rPr>
              <w:t>tonne-km/year</w:t>
            </w:r>
          </w:p>
        </w:tc>
        <w:tc>
          <w:tcPr>
            <w:tcW w:type="dxa" w:w="5472"/>
            <w:vAlign w:val="top"/>
          </w:tcPr>
          <w:p>
            <w:r>
              <w:rPr>
                <w:sz w:val="17"/>
              </w:rPr>
            </w:r>
            <w:r>
              <w:rPr>
                <w:b w:val="0"/>
                <w:sz w:val="17"/>
              </w:rPr>
              <w:t>loadedKmYear x effectivePayloadTons</w:t>
            </w:r>
          </w:p>
        </w:tc>
      </w:tr>
      <w:tr>
        <w:tc>
          <w:tcPr>
            <w:tcW w:type="dxa" w:w="2592"/>
            <w:vAlign w:val="top"/>
          </w:tcPr>
          <w:p>
            <w:r>
              <w:rPr>
                <w:sz w:val="17"/>
              </w:rPr>
            </w:r>
            <w:r>
              <w:rPr>
                <w:b w:val="0"/>
                <w:sz w:val="17"/>
              </w:rPr>
              <w:t>variableCostPerKm</w:t>
            </w:r>
          </w:p>
        </w:tc>
        <w:tc>
          <w:tcPr>
            <w:tcW w:type="dxa" w:w="1152"/>
            <w:vAlign w:val="top"/>
          </w:tcPr>
          <w:p>
            <w:r>
              <w:rPr>
                <w:sz w:val="17"/>
              </w:rPr>
            </w:r>
            <w:r>
              <w:rPr>
                <w:b w:val="0"/>
                <w:sz w:val="17"/>
              </w:rPr>
              <w:t>number</w:t>
            </w:r>
          </w:p>
        </w:tc>
        <w:tc>
          <w:tcPr>
            <w:tcW w:type="dxa" w:w="1728"/>
            <w:vAlign w:val="top"/>
          </w:tcPr>
          <w:p>
            <w:r>
              <w:rPr>
                <w:sz w:val="17"/>
              </w:rPr>
            </w:r>
            <w:r>
              <w:rPr>
                <w:b w:val="0"/>
                <w:sz w:val="17"/>
              </w:rPr>
              <w:t>EUR/km</w:t>
            </w:r>
          </w:p>
        </w:tc>
        <w:tc>
          <w:tcPr>
            <w:tcW w:type="dxa" w:w="5472"/>
            <w:vAlign w:val="top"/>
          </w:tcPr>
          <w:p>
            <w:r>
              <w:rPr>
                <w:sz w:val="17"/>
              </w:rPr>
            </w:r>
            <w:r>
              <w:rPr>
                <w:b w:val="0"/>
                <w:sz w:val="17"/>
              </w:rPr>
              <w:t>Sum of fuel, tyres, maintenance and road fees per km.</w:t>
            </w:r>
          </w:p>
        </w:tc>
      </w:tr>
      <w:tr>
        <w:tc>
          <w:tcPr>
            <w:tcW w:type="dxa" w:w="2592"/>
            <w:vAlign w:val="top"/>
          </w:tcPr>
          <w:p>
            <w:r>
              <w:rPr>
                <w:sz w:val="17"/>
              </w:rPr>
            </w:r>
            <w:r>
              <w:rPr>
                <w:b w:val="0"/>
                <w:sz w:val="17"/>
              </w:rPr>
              <w:t>variableAnnualCost</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variableCostPerKm x annualTotalKm</w:t>
            </w:r>
          </w:p>
        </w:tc>
      </w:tr>
      <w:tr>
        <w:tc>
          <w:tcPr>
            <w:tcW w:type="dxa" w:w="2592"/>
            <w:vAlign w:val="top"/>
          </w:tcPr>
          <w:p>
            <w:r>
              <w:rPr>
                <w:sz w:val="17"/>
              </w:rPr>
            </w:r>
            <w:r>
              <w:rPr>
                <w:b w:val="0"/>
                <w:sz w:val="17"/>
              </w:rPr>
              <w:t>driverAnnualCost</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Salary, employer contribution and per diem.</w:t>
            </w:r>
          </w:p>
        </w:tc>
      </w:tr>
      <w:tr>
        <w:tc>
          <w:tcPr>
            <w:tcW w:type="dxa" w:w="2592"/>
            <w:vAlign w:val="top"/>
          </w:tcPr>
          <w:p>
            <w:r>
              <w:rPr>
                <w:sz w:val="17"/>
              </w:rPr>
            </w:r>
            <w:r>
              <w:rPr>
                <w:b w:val="0"/>
                <w:sz w:val="17"/>
              </w:rPr>
              <w:t>vehicleFixedAnnualCost</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Ownership/leasing + insurance + vehicle tax.</w:t>
            </w:r>
          </w:p>
        </w:tc>
      </w:tr>
      <w:tr>
        <w:tc>
          <w:tcPr>
            <w:tcW w:type="dxa" w:w="2592"/>
            <w:vAlign w:val="top"/>
          </w:tcPr>
          <w:p>
            <w:r>
              <w:rPr>
                <w:sz w:val="17"/>
              </w:rPr>
            </w:r>
            <w:r>
              <w:rPr>
                <w:b w:val="0"/>
                <w:sz w:val="17"/>
              </w:rPr>
              <w:t>totalAnnualCost</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Variable + driver + fixed + structural cost.</w:t>
            </w:r>
          </w:p>
        </w:tc>
      </w:tr>
      <w:tr>
        <w:tc>
          <w:tcPr>
            <w:tcW w:type="dxa" w:w="2592"/>
            <w:vAlign w:val="top"/>
          </w:tcPr>
          <w:p>
            <w:r>
              <w:rPr>
                <w:sz w:val="17"/>
              </w:rPr>
            </w:r>
            <w:r>
              <w:rPr>
                <w:b w:val="0"/>
                <w:sz w:val="17"/>
              </w:rPr>
              <w:t>breakEvenPerLoadedKm</w:t>
            </w:r>
          </w:p>
        </w:tc>
        <w:tc>
          <w:tcPr>
            <w:tcW w:type="dxa" w:w="1152"/>
            <w:vAlign w:val="top"/>
          </w:tcPr>
          <w:p>
            <w:r>
              <w:rPr>
                <w:sz w:val="17"/>
              </w:rPr>
            </w:r>
            <w:r>
              <w:rPr>
                <w:b w:val="0"/>
                <w:sz w:val="17"/>
              </w:rPr>
              <w:t>number</w:t>
            </w:r>
          </w:p>
        </w:tc>
        <w:tc>
          <w:tcPr>
            <w:tcW w:type="dxa" w:w="1728"/>
            <w:vAlign w:val="top"/>
          </w:tcPr>
          <w:p>
            <w:r>
              <w:rPr>
                <w:sz w:val="17"/>
              </w:rPr>
            </w:r>
            <w:r>
              <w:rPr>
                <w:b w:val="0"/>
                <w:sz w:val="17"/>
              </w:rPr>
              <w:t>EUR/loaded km</w:t>
            </w:r>
          </w:p>
        </w:tc>
        <w:tc>
          <w:tcPr>
            <w:tcW w:type="dxa" w:w="5472"/>
            <w:vAlign w:val="top"/>
          </w:tcPr>
          <w:p>
            <w:r>
              <w:rPr>
                <w:sz w:val="17"/>
              </w:rPr>
            </w:r>
            <w:r>
              <w:rPr>
                <w:b w:val="0"/>
                <w:sz w:val="17"/>
              </w:rPr>
              <w:t>totalAnnualCost / loadedKmYear</w:t>
            </w:r>
          </w:p>
        </w:tc>
      </w:tr>
      <w:tr>
        <w:tc>
          <w:tcPr>
            <w:tcW w:type="dxa" w:w="2592"/>
            <w:vAlign w:val="top"/>
          </w:tcPr>
          <w:p>
            <w:r>
              <w:rPr>
                <w:sz w:val="17"/>
              </w:rPr>
            </w:r>
            <w:r>
              <w:rPr>
                <w:b w:val="0"/>
                <w:sz w:val="17"/>
              </w:rPr>
              <w:t>breakEvenPerTonneKm</w:t>
            </w:r>
          </w:p>
        </w:tc>
        <w:tc>
          <w:tcPr>
            <w:tcW w:type="dxa" w:w="1152"/>
            <w:vAlign w:val="top"/>
          </w:tcPr>
          <w:p>
            <w:r>
              <w:rPr>
                <w:sz w:val="17"/>
              </w:rPr>
            </w:r>
            <w:r>
              <w:rPr>
                <w:b w:val="0"/>
                <w:sz w:val="17"/>
              </w:rPr>
              <w:t>number</w:t>
            </w:r>
          </w:p>
        </w:tc>
        <w:tc>
          <w:tcPr>
            <w:tcW w:type="dxa" w:w="1728"/>
            <w:vAlign w:val="top"/>
          </w:tcPr>
          <w:p>
            <w:r>
              <w:rPr>
                <w:sz w:val="17"/>
              </w:rPr>
            </w:r>
            <w:r>
              <w:rPr>
                <w:b w:val="0"/>
                <w:sz w:val="17"/>
              </w:rPr>
              <w:t>EUR/tonne-km</w:t>
            </w:r>
          </w:p>
        </w:tc>
        <w:tc>
          <w:tcPr>
            <w:tcW w:type="dxa" w:w="5472"/>
            <w:vAlign w:val="top"/>
          </w:tcPr>
          <w:p>
            <w:r>
              <w:rPr>
                <w:sz w:val="17"/>
              </w:rPr>
            </w:r>
            <w:r>
              <w:rPr>
                <w:b w:val="0"/>
                <w:sz w:val="17"/>
              </w:rPr>
              <w:t>totalAnnualCost / annualTonneKm</w:t>
            </w:r>
          </w:p>
        </w:tc>
      </w:tr>
      <w:tr>
        <w:tc>
          <w:tcPr>
            <w:tcW w:type="dxa" w:w="2592"/>
            <w:vAlign w:val="top"/>
          </w:tcPr>
          <w:p>
            <w:r>
              <w:rPr>
                <w:sz w:val="17"/>
              </w:rPr>
            </w:r>
            <w:r>
              <w:rPr>
                <w:b w:val="0"/>
                <w:sz w:val="17"/>
              </w:rPr>
              <w:t>customerRateExclVat</w:t>
            </w:r>
          </w:p>
        </w:tc>
        <w:tc>
          <w:tcPr>
            <w:tcW w:type="dxa" w:w="1152"/>
            <w:vAlign w:val="top"/>
          </w:tcPr>
          <w:p>
            <w:r>
              <w:rPr>
                <w:sz w:val="17"/>
              </w:rPr>
            </w:r>
            <w:r>
              <w:rPr>
                <w:b w:val="0"/>
                <w:sz w:val="17"/>
              </w:rPr>
              <w:t>number</w:t>
            </w:r>
          </w:p>
        </w:tc>
        <w:tc>
          <w:tcPr>
            <w:tcW w:type="dxa" w:w="1728"/>
            <w:vAlign w:val="top"/>
          </w:tcPr>
          <w:p>
            <w:r>
              <w:rPr>
                <w:sz w:val="17"/>
              </w:rPr>
            </w:r>
            <w:r>
              <w:rPr>
                <w:b w:val="0"/>
                <w:sz w:val="17"/>
              </w:rPr>
              <w:t>EUR/loaded km</w:t>
            </w:r>
          </w:p>
        </w:tc>
        <w:tc>
          <w:tcPr>
            <w:tcW w:type="dxa" w:w="5472"/>
            <w:vAlign w:val="top"/>
          </w:tcPr>
          <w:p>
            <w:r>
              <w:rPr>
                <w:sz w:val="17"/>
              </w:rPr>
            </w:r>
            <w:r>
              <w:rPr>
                <w:b w:val="0"/>
                <w:sz w:val="17"/>
              </w:rPr>
              <w:t>breakEvenPerLoadedKm x (1 + markupPercentage)</w:t>
            </w:r>
          </w:p>
        </w:tc>
      </w:tr>
      <w:tr>
        <w:tc>
          <w:tcPr>
            <w:tcW w:type="dxa" w:w="2592"/>
            <w:vAlign w:val="top"/>
          </w:tcPr>
          <w:p>
            <w:r>
              <w:rPr>
                <w:sz w:val="17"/>
              </w:rPr>
            </w:r>
            <w:r>
              <w:rPr>
                <w:b w:val="0"/>
                <w:sz w:val="17"/>
              </w:rPr>
              <w:t>customerRateInclVat</w:t>
            </w:r>
          </w:p>
        </w:tc>
        <w:tc>
          <w:tcPr>
            <w:tcW w:type="dxa" w:w="1152"/>
            <w:vAlign w:val="top"/>
          </w:tcPr>
          <w:p>
            <w:r>
              <w:rPr>
                <w:sz w:val="17"/>
              </w:rPr>
            </w:r>
            <w:r>
              <w:rPr>
                <w:b w:val="0"/>
                <w:sz w:val="17"/>
              </w:rPr>
              <w:t>number</w:t>
            </w:r>
          </w:p>
        </w:tc>
        <w:tc>
          <w:tcPr>
            <w:tcW w:type="dxa" w:w="1728"/>
            <w:vAlign w:val="top"/>
          </w:tcPr>
          <w:p>
            <w:r>
              <w:rPr>
                <w:sz w:val="17"/>
              </w:rPr>
            </w:r>
            <w:r>
              <w:rPr>
                <w:b w:val="0"/>
                <w:sz w:val="17"/>
              </w:rPr>
              <w:t>EUR/loaded km</w:t>
            </w:r>
          </w:p>
        </w:tc>
        <w:tc>
          <w:tcPr>
            <w:tcW w:type="dxa" w:w="5472"/>
            <w:vAlign w:val="top"/>
          </w:tcPr>
          <w:p>
            <w:r>
              <w:rPr>
                <w:sz w:val="17"/>
              </w:rPr>
            </w:r>
            <w:r>
              <w:rPr>
                <w:b w:val="0"/>
                <w:sz w:val="17"/>
              </w:rPr>
              <w:t>customerRateExclVat x (1 + vatRate)</w:t>
            </w:r>
          </w:p>
        </w:tc>
      </w:tr>
      <w:tr>
        <w:tc>
          <w:tcPr>
            <w:tcW w:type="dxa" w:w="2592"/>
            <w:vAlign w:val="top"/>
          </w:tcPr>
          <w:p>
            <w:r>
              <w:rPr>
                <w:sz w:val="17"/>
              </w:rPr>
            </w:r>
            <w:r>
              <w:rPr>
                <w:b w:val="0"/>
                <w:sz w:val="17"/>
              </w:rPr>
              <w:t>annualRevenueExclVat</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customerRateExclVat x loadedKmYear</w:t>
            </w:r>
          </w:p>
        </w:tc>
      </w:tr>
      <w:tr>
        <w:tc>
          <w:tcPr>
            <w:tcW w:type="dxa" w:w="2592"/>
            <w:vAlign w:val="top"/>
          </w:tcPr>
          <w:p>
            <w:r>
              <w:rPr>
                <w:sz w:val="17"/>
              </w:rPr>
            </w:r>
            <w:r>
              <w:rPr>
                <w:b w:val="0"/>
                <w:sz w:val="17"/>
              </w:rPr>
              <w:t>vatCollected</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annualRevenueExclVat x vatRate</w:t>
            </w:r>
          </w:p>
        </w:tc>
      </w:tr>
      <w:tr>
        <w:tc>
          <w:tcPr>
            <w:tcW w:type="dxa" w:w="2592"/>
            <w:vAlign w:val="top"/>
          </w:tcPr>
          <w:p>
            <w:r>
              <w:rPr>
                <w:sz w:val="17"/>
              </w:rPr>
            </w:r>
            <w:r>
              <w:rPr>
                <w:b w:val="0"/>
                <w:sz w:val="17"/>
              </w:rPr>
              <w:t>invoiceValueInclVat</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annualRevenueExclVat + vatCollected</w:t>
            </w:r>
          </w:p>
        </w:tc>
      </w:tr>
      <w:tr>
        <w:tc>
          <w:tcPr>
            <w:tcW w:type="dxa" w:w="2592"/>
            <w:vAlign w:val="top"/>
          </w:tcPr>
          <w:p>
            <w:r>
              <w:rPr>
                <w:sz w:val="17"/>
              </w:rPr>
            </w:r>
            <w:r>
              <w:rPr>
                <w:b w:val="0"/>
                <w:sz w:val="17"/>
              </w:rPr>
              <w:t>ebitBeforeTax</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annualRevenueExclVat - totalAnnualCost</w:t>
            </w:r>
          </w:p>
        </w:tc>
      </w:tr>
      <w:tr>
        <w:tc>
          <w:tcPr>
            <w:tcW w:type="dxa" w:w="2592"/>
            <w:vAlign w:val="top"/>
          </w:tcPr>
          <w:p>
            <w:r>
              <w:rPr>
                <w:sz w:val="17"/>
              </w:rPr>
            </w:r>
            <w:r>
              <w:rPr>
                <w:b w:val="0"/>
                <w:sz w:val="17"/>
              </w:rPr>
              <w:t>businessTax</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max(0, ebitBeforeTax x effectiveBusinessTaxRate)</w:t>
            </w:r>
          </w:p>
        </w:tc>
      </w:tr>
      <w:tr>
        <w:tc>
          <w:tcPr>
            <w:tcW w:type="dxa" w:w="2592"/>
            <w:vAlign w:val="top"/>
          </w:tcPr>
          <w:p>
            <w:r>
              <w:rPr>
                <w:sz w:val="17"/>
              </w:rPr>
            </w:r>
            <w:r>
              <w:rPr>
                <w:b w:val="0"/>
                <w:sz w:val="17"/>
              </w:rPr>
              <w:t>profitAfterTax</w:t>
            </w:r>
          </w:p>
        </w:tc>
        <w:tc>
          <w:tcPr>
            <w:tcW w:type="dxa" w:w="1152"/>
            <w:vAlign w:val="top"/>
          </w:tcPr>
          <w:p>
            <w:r>
              <w:rPr>
                <w:sz w:val="17"/>
              </w:rPr>
            </w:r>
            <w:r>
              <w:rPr>
                <w:b w:val="0"/>
                <w:sz w:val="17"/>
              </w:rPr>
              <w:t>number</w:t>
            </w:r>
          </w:p>
        </w:tc>
        <w:tc>
          <w:tcPr>
            <w:tcW w:type="dxa" w:w="1728"/>
            <w:vAlign w:val="top"/>
          </w:tcPr>
          <w:p>
            <w:r>
              <w:rPr>
                <w:sz w:val="17"/>
              </w:rPr>
            </w:r>
            <w:r>
              <w:rPr>
                <w:b w:val="0"/>
                <w:sz w:val="17"/>
              </w:rPr>
              <w:t>EUR/year</w:t>
            </w:r>
          </w:p>
        </w:tc>
        <w:tc>
          <w:tcPr>
            <w:tcW w:type="dxa" w:w="5472"/>
            <w:vAlign w:val="top"/>
          </w:tcPr>
          <w:p>
            <w:r>
              <w:rPr>
                <w:sz w:val="17"/>
              </w:rPr>
            </w:r>
            <w:r>
              <w:rPr>
                <w:b w:val="0"/>
                <w:sz w:val="17"/>
              </w:rPr>
              <w:t>ebitBeforeTax - businessTax</w:t>
            </w:r>
          </w:p>
        </w:tc>
      </w:tr>
      <w:tr>
        <w:tc>
          <w:tcPr>
            <w:tcW w:type="dxa" w:w="2592"/>
            <w:vAlign w:val="top"/>
          </w:tcPr>
          <w:p>
            <w:r>
              <w:rPr>
                <w:sz w:val="17"/>
              </w:rPr>
            </w:r>
            <w:r>
              <w:rPr>
                <w:b w:val="0"/>
                <w:sz w:val="17"/>
              </w:rPr>
              <w:t>afterTaxMargin</w:t>
            </w:r>
          </w:p>
        </w:tc>
        <w:tc>
          <w:tcPr>
            <w:tcW w:type="dxa" w:w="1152"/>
            <w:vAlign w:val="top"/>
          </w:tcPr>
          <w:p>
            <w:r>
              <w:rPr>
                <w:sz w:val="17"/>
              </w:rPr>
            </w:r>
            <w:r>
              <w:rPr>
                <w:b w:val="0"/>
                <w:sz w:val="17"/>
              </w:rPr>
              <w:t>number</w:t>
            </w:r>
          </w:p>
        </w:tc>
        <w:tc>
          <w:tcPr>
            <w:tcW w:type="dxa" w:w="1728"/>
            <w:vAlign w:val="top"/>
          </w:tcPr>
          <w:p>
            <w:r>
              <w:rPr>
                <w:sz w:val="17"/>
              </w:rPr>
            </w:r>
            <w:r>
              <w:rPr>
                <w:b w:val="0"/>
                <w:sz w:val="17"/>
              </w:rPr>
              <w:t>ratio</w:t>
            </w:r>
          </w:p>
        </w:tc>
        <w:tc>
          <w:tcPr>
            <w:tcW w:type="dxa" w:w="5472"/>
            <w:vAlign w:val="top"/>
          </w:tcPr>
          <w:p>
            <w:r>
              <w:rPr>
                <w:sz w:val="17"/>
              </w:rPr>
            </w:r>
            <w:r>
              <w:rPr>
                <w:b w:val="0"/>
                <w:sz w:val="17"/>
              </w:rPr>
              <w:t>profitAfterTax / annualRevenueExclVat</w:t>
            </w:r>
          </w:p>
        </w:tc>
      </w:tr>
    </w:tbl>
    <w:p>
      <w:pPr>
        <w:pStyle w:val="Heading1"/>
      </w:pPr>
      <w:r>
        <w:t>8. Validation Rules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shd w:fill="0F766E"/>
          </w:tcPr>
          <w:p>
            <w:r>
              <w:rPr>
                <w:b/>
                <w:color w:val="FFFFFF"/>
                <w:sz w:val="17"/>
              </w:rPr>
            </w:r>
            <w:r>
              <w:rPr>
                <w:b/>
                <w:color w:val="FFFFFF"/>
                <w:sz w:val="17"/>
              </w:rPr>
              <w:t>Validation group</w:t>
            </w:r>
          </w:p>
        </w:tc>
        <w:tc>
          <w:tcPr>
            <w:tcW w:type="dxa" w:w="3600"/>
            <w:vAlign w:val="top"/>
            <w:shd w:fill="0F766E"/>
          </w:tcPr>
          <w:p>
            <w:r>
              <w:rPr>
                <w:b/>
                <w:color w:val="FFFFFF"/>
                <w:sz w:val="17"/>
              </w:rPr>
            </w:r>
            <w:r>
              <w:rPr>
                <w:b/>
                <w:color w:val="FFFFFF"/>
                <w:sz w:val="17"/>
              </w:rPr>
              <w:t>Rule</w:t>
            </w:r>
          </w:p>
        </w:tc>
        <w:tc>
          <w:tcPr>
            <w:tcW w:type="dxa" w:w="2448"/>
            <w:vAlign w:val="top"/>
            <w:shd w:fill="0F766E"/>
          </w:tcPr>
          <w:p>
            <w:r>
              <w:rPr>
                <w:b/>
                <w:color w:val="FFFFFF"/>
                <w:sz w:val="17"/>
              </w:rPr>
            </w:r>
            <w:r>
              <w:rPr>
                <w:b/>
                <w:color w:val="FFFFFF"/>
                <w:sz w:val="17"/>
              </w:rPr>
              <w:t>API behaviour</w:t>
            </w:r>
          </w:p>
        </w:tc>
        <w:tc>
          <w:tcPr>
            <w:tcW w:type="dxa" w:w="2592"/>
            <w:vAlign w:val="top"/>
            <w:shd w:fill="0F766E"/>
          </w:tcPr>
          <w:p>
            <w:r>
              <w:rPr>
                <w:b/>
                <w:color w:val="FFFFFF"/>
                <w:sz w:val="17"/>
              </w:rPr>
            </w:r>
            <w:r>
              <w:rPr>
                <w:b/>
                <w:color w:val="FFFFFF"/>
                <w:sz w:val="17"/>
              </w:rPr>
              <w:t>Frontend behaviour</w:t>
            </w:r>
          </w:p>
        </w:tc>
      </w:tr>
      <w:tr>
        <w:tc>
          <w:tcPr>
            <w:tcW w:type="dxa" w:w="2016"/>
            <w:vAlign w:val="top"/>
          </w:tcPr>
          <w:p>
            <w:r>
              <w:rPr>
                <w:sz w:val="17"/>
              </w:rPr>
            </w:r>
            <w:r>
              <w:rPr>
                <w:b w:val="0"/>
                <w:sz w:val="17"/>
              </w:rPr>
              <w:t>Required identifiers</w:t>
            </w:r>
          </w:p>
        </w:tc>
        <w:tc>
          <w:tcPr>
            <w:tcW w:type="dxa" w:w="3600"/>
            <w:vAlign w:val="top"/>
          </w:tcPr>
          <w:p>
            <w:r>
              <w:rPr>
                <w:sz w:val="17"/>
              </w:rPr>
            </w:r>
            <w:r>
              <w:rPr>
                <w:b w:val="0"/>
                <w:sz w:val="17"/>
              </w:rPr>
              <w:t>countryId, companyTypeId, businessModelId and vehicleClassId must exist.</w:t>
            </w:r>
          </w:p>
        </w:tc>
        <w:tc>
          <w:tcPr>
            <w:tcW w:type="dxa" w:w="2448"/>
            <w:vAlign w:val="top"/>
          </w:tcPr>
          <w:p>
            <w:r>
              <w:rPr>
                <w:sz w:val="17"/>
              </w:rPr>
            </w:r>
            <w:r>
              <w:rPr>
                <w:b w:val="0"/>
                <w:sz w:val="17"/>
              </w:rPr>
              <w:t>Return 400 with field-specific message.</w:t>
            </w:r>
          </w:p>
        </w:tc>
        <w:tc>
          <w:tcPr>
            <w:tcW w:type="dxa" w:w="2592"/>
            <w:vAlign w:val="top"/>
          </w:tcPr>
          <w:p>
            <w:r>
              <w:rPr>
                <w:sz w:val="17"/>
              </w:rPr>
            </w:r>
            <w:r>
              <w:rPr>
                <w:b w:val="0"/>
                <w:sz w:val="17"/>
              </w:rPr>
              <w:t>Block calculation and show inline error.</w:t>
            </w:r>
          </w:p>
        </w:tc>
      </w:tr>
      <w:tr>
        <w:tc>
          <w:tcPr>
            <w:tcW w:type="dxa" w:w="2016"/>
            <w:vAlign w:val="top"/>
          </w:tcPr>
          <w:p>
            <w:r>
              <w:rPr>
                <w:sz w:val="17"/>
              </w:rPr>
            </w:r>
            <w:r>
              <w:rPr>
                <w:b w:val="0"/>
                <w:sz w:val="17"/>
              </w:rPr>
              <w:t>Positive activity values</w:t>
            </w:r>
          </w:p>
        </w:tc>
        <w:tc>
          <w:tcPr>
            <w:tcW w:type="dxa" w:w="3600"/>
            <w:vAlign w:val="top"/>
          </w:tcPr>
          <w:p>
            <w:r>
              <w:rPr>
                <w:sz w:val="17"/>
              </w:rPr>
            </w:r>
            <w:r>
              <w:rPr>
                <w:b w:val="0"/>
                <w:sz w:val="17"/>
              </w:rPr>
              <w:t>dailyKm and operatingDaysPerYear must be greater than zero.</w:t>
            </w:r>
          </w:p>
        </w:tc>
        <w:tc>
          <w:tcPr>
            <w:tcW w:type="dxa" w:w="2448"/>
            <w:vAlign w:val="top"/>
          </w:tcPr>
          <w:p>
            <w:r>
              <w:rPr>
                <w:sz w:val="17"/>
              </w:rPr>
            </w:r>
            <w:r>
              <w:rPr>
                <w:b w:val="0"/>
                <w:sz w:val="17"/>
              </w:rPr>
              <w:t>Return 400.</w:t>
            </w:r>
          </w:p>
        </w:tc>
        <w:tc>
          <w:tcPr>
            <w:tcW w:type="dxa" w:w="2592"/>
            <w:vAlign w:val="top"/>
          </w:tcPr>
          <w:p>
            <w:r>
              <w:rPr>
                <w:sz w:val="17"/>
              </w:rPr>
            </w:r>
            <w:r>
              <w:rPr>
                <w:b w:val="0"/>
                <w:sz w:val="17"/>
              </w:rPr>
              <w:t>Prevent submit.</w:t>
            </w:r>
          </w:p>
        </w:tc>
      </w:tr>
      <w:tr>
        <w:tc>
          <w:tcPr>
            <w:tcW w:type="dxa" w:w="2016"/>
            <w:vAlign w:val="top"/>
          </w:tcPr>
          <w:p>
            <w:r>
              <w:rPr>
                <w:sz w:val="17"/>
              </w:rPr>
            </w:r>
            <w:r>
              <w:rPr>
                <w:b w:val="0"/>
                <w:sz w:val="17"/>
              </w:rPr>
              <w:t>Operating days cap</w:t>
            </w:r>
          </w:p>
        </w:tc>
        <w:tc>
          <w:tcPr>
            <w:tcW w:type="dxa" w:w="3600"/>
            <w:vAlign w:val="top"/>
          </w:tcPr>
          <w:p>
            <w:r>
              <w:rPr>
                <w:sz w:val="17"/>
              </w:rPr>
            </w:r>
            <w:r>
              <w:rPr>
                <w:b w:val="0"/>
                <w:sz w:val="17"/>
              </w:rPr>
              <w:t>operatingDaysPerYear should not exceed 365.</w:t>
            </w:r>
          </w:p>
        </w:tc>
        <w:tc>
          <w:tcPr>
            <w:tcW w:type="dxa" w:w="2448"/>
            <w:vAlign w:val="top"/>
          </w:tcPr>
          <w:p>
            <w:r>
              <w:rPr>
                <w:sz w:val="17"/>
              </w:rPr>
            </w:r>
            <w:r>
              <w:rPr>
                <w:b w:val="0"/>
                <w:sz w:val="17"/>
              </w:rPr>
              <w:t>Return 400 or warning depending admin setting.</w:t>
            </w:r>
          </w:p>
        </w:tc>
        <w:tc>
          <w:tcPr>
            <w:tcW w:type="dxa" w:w="2592"/>
            <w:vAlign w:val="top"/>
          </w:tcPr>
          <w:p>
            <w:r>
              <w:rPr>
                <w:sz w:val="17"/>
              </w:rPr>
            </w:r>
            <w:r>
              <w:rPr>
                <w:b w:val="0"/>
                <w:sz w:val="17"/>
              </w:rPr>
              <w:t>Show warning for &gt; 300, error for &gt; 365.</w:t>
            </w:r>
          </w:p>
        </w:tc>
      </w:tr>
      <w:tr>
        <w:tc>
          <w:tcPr>
            <w:tcW w:type="dxa" w:w="2016"/>
            <w:vAlign w:val="top"/>
          </w:tcPr>
          <w:p>
            <w:r>
              <w:rPr>
                <w:sz w:val="17"/>
              </w:rPr>
            </w:r>
            <w:r>
              <w:rPr>
                <w:b w:val="0"/>
                <w:sz w:val="17"/>
              </w:rPr>
              <w:t>Ratio fields</w:t>
            </w:r>
          </w:p>
        </w:tc>
        <w:tc>
          <w:tcPr>
            <w:tcW w:type="dxa" w:w="3600"/>
            <w:vAlign w:val="top"/>
          </w:tcPr>
          <w:p>
            <w:r>
              <w:rPr>
                <w:sz w:val="17"/>
              </w:rPr>
            </w:r>
            <w:r>
              <w:rPr>
                <w:b w:val="0"/>
                <w:sz w:val="17"/>
              </w:rPr>
              <w:t>loadFactor and payloadUtilisation must be greater than 0 and less than or equal to 1.</w:t>
            </w:r>
          </w:p>
        </w:tc>
        <w:tc>
          <w:tcPr>
            <w:tcW w:type="dxa" w:w="2448"/>
            <w:vAlign w:val="top"/>
          </w:tcPr>
          <w:p>
            <w:r>
              <w:rPr>
                <w:sz w:val="17"/>
              </w:rPr>
            </w:r>
            <w:r>
              <w:rPr>
                <w:b w:val="0"/>
                <w:sz w:val="17"/>
              </w:rPr>
              <w:t>Return 400.</w:t>
            </w:r>
          </w:p>
        </w:tc>
        <w:tc>
          <w:tcPr>
            <w:tcW w:type="dxa" w:w="2592"/>
            <w:vAlign w:val="top"/>
          </w:tcPr>
          <w:p>
            <w:r>
              <w:rPr>
                <w:sz w:val="17"/>
              </w:rPr>
            </w:r>
            <w:r>
              <w:rPr>
                <w:b w:val="0"/>
                <w:sz w:val="17"/>
              </w:rPr>
              <w:t>Use percent field with 0-100 display.</w:t>
            </w:r>
          </w:p>
        </w:tc>
      </w:tr>
      <w:tr>
        <w:tc>
          <w:tcPr>
            <w:tcW w:type="dxa" w:w="2016"/>
            <w:vAlign w:val="top"/>
          </w:tcPr>
          <w:p>
            <w:r>
              <w:rPr>
                <w:sz w:val="17"/>
              </w:rPr>
            </w:r>
            <w:r>
              <w:rPr>
                <w:b w:val="0"/>
                <w:sz w:val="17"/>
              </w:rPr>
              <w:t>Cost fields</w:t>
            </w:r>
          </w:p>
        </w:tc>
        <w:tc>
          <w:tcPr>
            <w:tcW w:type="dxa" w:w="3600"/>
            <w:vAlign w:val="top"/>
          </w:tcPr>
          <w:p>
            <w:r>
              <w:rPr>
                <w:sz w:val="17"/>
              </w:rPr>
            </w:r>
            <w:r>
              <w:rPr>
                <w:b w:val="0"/>
                <w:sz w:val="17"/>
              </w:rPr>
              <w:t>Annual cost assumptions must be &gt;= 0.</w:t>
            </w:r>
          </w:p>
        </w:tc>
        <w:tc>
          <w:tcPr>
            <w:tcW w:type="dxa" w:w="2448"/>
            <w:vAlign w:val="top"/>
          </w:tcPr>
          <w:p>
            <w:r>
              <w:rPr>
                <w:sz w:val="17"/>
              </w:rPr>
            </w:r>
            <w:r>
              <w:rPr>
                <w:b w:val="0"/>
                <w:sz w:val="17"/>
              </w:rPr>
              <w:t>Return 400.</w:t>
            </w:r>
          </w:p>
        </w:tc>
        <w:tc>
          <w:tcPr>
            <w:tcW w:type="dxa" w:w="2592"/>
            <w:vAlign w:val="top"/>
          </w:tcPr>
          <w:p>
            <w:r>
              <w:rPr>
                <w:sz w:val="17"/>
              </w:rPr>
            </w:r>
            <w:r>
              <w:rPr>
                <w:b w:val="0"/>
                <w:sz w:val="17"/>
              </w:rPr>
              <w:t>Prevent negative input.</w:t>
            </w:r>
          </w:p>
        </w:tc>
      </w:tr>
      <w:tr>
        <w:tc>
          <w:tcPr>
            <w:tcW w:type="dxa" w:w="2016"/>
            <w:vAlign w:val="top"/>
          </w:tcPr>
          <w:p>
            <w:r>
              <w:rPr>
                <w:sz w:val="17"/>
              </w:rPr>
            </w:r>
            <w:r>
              <w:rPr>
                <w:b w:val="0"/>
                <w:sz w:val="17"/>
              </w:rPr>
              <w:t>Tax fields</w:t>
            </w:r>
          </w:p>
        </w:tc>
        <w:tc>
          <w:tcPr>
            <w:tcW w:type="dxa" w:w="3600"/>
            <w:vAlign w:val="top"/>
          </w:tcPr>
          <w:p>
            <w:r>
              <w:rPr>
                <w:sz w:val="17"/>
              </w:rPr>
            </w:r>
            <w:r>
              <w:rPr>
                <w:b w:val="0"/>
                <w:sz w:val="17"/>
              </w:rPr>
              <w:t>VAT, employer contribution and business tax rates must be between 0 and 1.</w:t>
            </w:r>
          </w:p>
        </w:tc>
        <w:tc>
          <w:tcPr>
            <w:tcW w:type="dxa" w:w="2448"/>
            <w:vAlign w:val="top"/>
          </w:tcPr>
          <w:p>
            <w:r>
              <w:rPr>
                <w:sz w:val="17"/>
              </w:rPr>
            </w:r>
            <w:r>
              <w:rPr>
                <w:b w:val="0"/>
                <w:sz w:val="17"/>
              </w:rPr>
              <w:t>Return 400.</w:t>
            </w:r>
          </w:p>
        </w:tc>
        <w:tc>
          <w:tcPr>
            <w:tcW w:type="dxa" w:w="2592"/>
            <w:vAlign w:val="top"/>
          </w:tcPr>
          <w:p>
            <w:r>
              <w:rPr>
                <w:sz w:val="17"/>
              </w:rPr>
            </w:r>
            <w:r>
              <w:rPr>
                <w:b w:val="0"/>
                <w:sz w:val="17"/>
              </w:rPr>
              <w:t>Read-only from tax profile in normal mode.</w:t>
            </w:r>
          </w:p>
        </w:tc>
      </w:tr>
      <w:tr>
        <w:tc>
          <w:tcPr>
            <w:tcW w:type="dxa" w:w="2016"/>
            <w:vAlign w:val="top"/>
          </w:tcPr>
          <w:p>
            <w:r>
              <w:rPr>
                <w:sz w:val="17"/>
              </w:rPr>
            </w:r>
            <w:r>
              <w:rPr>
                <w:b w:val="0"/>
                <w:sz w:val="17"/>
              </w:rPr>
              <w:t>Markup</w:t>
            </w:r>
          </w:p>
        </w:tc>
        <w:tc>
          <w:tcPr>
            <w:tcW w:type="dxa" w:w="3600"/>
            <w:vAlign w:val="top"/>
          </w:tcPr>
          <w:p>
            <w:r>
              <w:rPr>
                <w:sz w:val="17"/>
              </w:rPr>
            </w:r>
            <w:r>
              <w:rPr>
                <w:b w:val="0"/>
                <w:sz w:val="17"/>
              </w:rPr>
              <w:t>markupPercentage cannot be negative.</w:t>
            </w:r>
          </w:p>
        </w:tc>
        <w:tc>
          <w:tcPr>
            <w:tcW w:type="dxa" w:w="2448"/>
            <w:vAlign w:val="top"/>
          </w:tcPr>
          <w:p>
            <w:r>
              <w:rPr>
                <w:sz w:val="17"/>
              </w:rPr>
            </w:r>
            <w:r>
              <w:rPr>
                <w:b w:val="0"/>
                <w:sz w:val="17"/>
              </w:rPr>
              <w:t>Return 400.</w:t>
            </w:r>
          </w:p>
        </w:tc>
        <w:tc>
          <w:tcPr>
            <w:tcW w:type="dxa" w:w="2592"/>
            <w:vAlign w:val="top"/>
          </w:tcPr>
          <w:p>
            <w:r>
              <w:rPr>
                <w:sz w:val="17"/>
              </w:rPr>
            </w:r>
            <w:r>
              <w:rPr>
                <w:b w:val="0"/>
                <w:sz w:val="17"/>
              </w:rPr>
              <w:t>Allow 0 and positive values.</w:t>
            </w:r>
          </w:p>
        </w:tc>
      </w:tr>
      <w:tr>
        <w:tc>
          <w:tcPr>
            <w:tcW w:type="dxa" w:w="2016"/>
            <w:vAlign w:val="top"/>
          </w:tcPr>
          <w:p>
            <w:r>
              <w:rPr>
                <w:sz w:val="17"/>
              </w:rPr>
            </w:r>
            <w:r>
              <w:rPr>
                <w:b w:val="0"/>
                <w:sz w:val="17"/>
              </w:rPr>
              <w:t>Division safety</w:t>
            </w:r>
          </w:p>
        </w:tc>
        <w:tc>
          <w:tcPr>
            <w:tcW w:type="dxa" w:w="3600"/>
            <w:vAlign w:val="top"/>
          </w:tcPr>
          <w:p>
            <w:r>
              <w:rPr>
                <w:sz w:val="17"/>
              </w:rPr>
            </w:r>
            <w:r>
              <w:rPr>
                <w:b w:val="0"/>
                <w:sz w:val="17"/>
              </w:rPr>
              <w:t>annualTotalKm, loadedKmYear and annualTonneKm cannot be zero.</w:t>
            </w:r>
          </w:p>
        </w:tc>
        <w:tc>
          <w:tcPr>
            <w:tcW w:type="dxa" w:w="2448"/>
            <w:vAlign w:val="top"/>
          </w:tcPr>
          <w:p>
            <w:r>
              <w:rPr>
                <w:sz w:val="17"/>
              </w:rPr>
            </w:r>
            <w:r>
              <w:rPr>
                <w:b w:val="0"/>
                <w:sz w:val="17"/>
              </w:rPr>
              <w:t>Return 400 before calculating.</w:t>
            </w:r>
          </w:p>
        </w:tc>
        <w:tc>
          <w:tcPr>
            <w:tcW w:type="dxa" w:w="2592"/>
            <w:vAlign w:val="top"/>
          </w:tcPr>
          <w:p>
            <w:r>
              <w:rPr>
                <w:sz w:val="17"/>
              </w:rPr>
            </w:r>
            <w:r>
              <w:rPr>
                <w:b w:val="0"/>
                <w:sz w:val="17"/>
              </w:rPr>
              <w:t>Show explanation of which input caused the issue.</w:t>
            </w:r>
          </w:p>
        </w:tc>
      </w:tr>
      <w:tr>
        <w:tc>
          <w:tcPr>
            <w:tcW w:type="dxa" w:w="2016"/>
            <w:vAlign w:val="top"/>
          </w:tcPr>
          <w:p>
            <w:r>
              <w:rPr>
                <w:sz w:val="17"/>
              </w:rPr>
            </w:r>
            <w:r>
              <w:rPr>
                <w:b w:val="0"/>
                <w:sz w:val="17"/>
              </w:rPr>
              <w:t>VAT registration</w:t>
            </w:r>
          </w:p>
        </w:tc>
        <w:tc>
          <w:tcPr>
            <w:tcW w:type="dxa" w:w="3600"/>
            <w:vAlign w:val="top"/>
          </w:tcPr>
          <w:p>
            <w:r>
              <w:rPr>
                <w:sz w:val="17"/>
              </w:rPr>
            </w:r>
            <w:r>
              <w:rPr>
                <w:b w:val="0"/>
                <w:sz w:val="17"/>
              </w:rPr>
              <w:t>If VAT registered is false, customerRateInclVat equals customerRateExclVat.</w:t>
            </w:r>
          </w:p>
        </w:tc>
        <w:tc>
          <w:tcPr>
            <w:tcW w:type="dxa" w:w="2448"/>
            <w:vAlign w:val="top"/>
          </w:tcPr>
          <w:p>
            <w:r>
              <w:rPr>
                <w:sz w:val="17"/>
              </w:rPr>
            </w:r>
            <w:r>
              <w:rPr>
                <w:b w:val="0"/>
                <w:sz w:val="17"/>
              </w:rPr>
              <w:t>Calculate with vatRate = 0 for invoice layer.</w:t>
            </w:r>
          </w:p>
        </w:tc>
        <w:tc>
          <w:tcPr>
            <w:tcW w:type="dxa" w:w="2592"/>
            <w:vAlign w:val="top"/>
          </w:tcPr>
          <w:p>
            <w:r>
              <w:rPr>
                <w:sz w:val="17"/>
              </w:rPr>
            </w:r>
            <w:r>
              <w:rPr>
                <w:b w:val="0"/>
                <w:sz w:val="17"/>
              </w:rPr>
              <w:t>Show “not VAT registered” status.</w:t>
            </w:r>
          </w:p>
        </w:tc>
      </w:tr>
    </w:tbl>
    <w:p>
      <w:pPr>
        <w:pStyle w:val="Heading1"/>
      </w:pPr>
      <w:r>
        <w:t>9. Tax Profile, Jurisdiction Cascade and Governance</w:t>
      </w:r>
    </w:p>
    <w:p>
      <w:r>
        <w:t>The country/jurisdiction is the master field. Company type and tax defaults must be filtered by country. Business model is selected after company type and stored as operating context.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top"/>
            <w:shd w:fill="0F766E"/>
          </w:tcPr>
          <w:p>
            <w:r>
              <w:rPr>
                <w:b/>
                <w:color w:val="FFFFFF"/>
                <w:sz w:val="17"/>
              </w:rPr>
            </w:r>
            <w:r>
              <w:rPr>
                <w:b/>
                <w:color w:val="FFFFFF"/>
                <w:sz w:val="17"/>
              </w:rPr>
              <w:t>Cascade level</w:t>
            </w:r>
          </w:p>
        </w:tc>
        <w:tc>
          <w:tcPr>
            <w:tcW w:type="dxa" w:w="2016"/>
            <w:vAlign w:val="top"/>
            <w:shd w:fill="0F766E"/>
          </w:tcPr>
          <w:p>
            <w:r>
              <w:rPr>
                <w:b/>
                <w:color w:val="FFFFFF"/>
                <w:sz w:val="17"/>
              </w:rPr>
            </w:r>
            <w:r>
              <w:rPr>
                <w:b/>
                <w:color w:val="FFFFFF"/>
                <w:sz w:val="17"/>
              </w:rPr>
              <w:t>Source table</w:t>
            </w:r>
          </w:p>
        </w:tc>
        <w:tc>
          <w:tcPr>
            <w:tcW w:type="dxa" w:w="2736"/>
            <w:vAlign w:val="top"/>
            <w:shd w:fill="0F766E"/>
          </w:tcPr>
          <w:p>
            <w:r>
              <w:rPr>
                <w:b/>
                <w:color w:val="FFFFFF"/>
                <w:sz w:val="17"/>
              </w:rPr>
            </w:r>
            <w:r>
              <w:rPr>
                <w:b/>
                <w:color w:val="FFFFFF"/>
                <w:sz w:val="17"/>
              </w:rPr>
              <w:t>Dependency</w:t>
            </w:r>
          </w:p>
        </w:tc>
        <w:tc>
          <w:tcPr>
            <w:tcW w:type="dxa" w:w="3744"/>
            <w:vAlign w:val="top"/>
            <w:shd w:fill="0F766E"/>
          </w:tcPr>
          <w:p>
            <w:r>
              <w:rPr>
                <w:b/>
                <w:color w:val="FFFFFF"/>
                <w:sz w:val="17"/>
              </w:rPr>
            </w:r>
            <w:r>
              <w:rPr>
                <w:b/>
                <w:color w:val="FFFFFF"/>
                <w:sz w:val="17"/>
              </w:rPr>
              <w:t>Expected result</w:t>
            </w:r>
          </w:p>
        </w:tc>
      </w:tr>
      <w:tr>
        <w:tc>
          <w:tcPr>
            <w:tcW w:type="dxa" w:w="2160"/>
            <w:vAlign w:val="top"/>
          </w:tcPr>
          <w:p>
            <w:r>
              <w:rPr>
                <w:sz w:val="17"/>
              </w:rPr>
            </w:r>
            <w:r>
              <w:rPr>
                <w:b w:val="0"/>
                <w:sz w:val="17"/>
              </w:rPr>
              <w:t>Country / jurisdiction</w:t>
            </w:r>
          </w:p>
        </w:tc>
        <w:tc>
          <w:tcPr>
            <w:tcW w:type="dxa" w:w="2016"/>
            <w:vAlign w:val="top"/>
          </w:tcPr>
          <w:p>
            <w:r>
              <w:rPr>
                <w:sz w:val="17"/>
              </w:rPr>
            </w:r>
            <w:r>
              <w:rPr>
                <w:b w:val="0"/>
                <w:sz w:val="17"/>
              </w:rPr>
              <w:t>countries</w:t>
            </w:r>
          </w:p>
        </w:tc>
        <w:tc>
          <w:tcPr>
            <w:tcW w:type="dxa" w:w="2736"/>
            <w:vAlign w:val="top"/>
          </w:tcPr>
          <w:p>
            <w:r>
              <w:rPr>
                <w:sz w:val="17"/>
              </w:rPr>
            </w:r>
            <w:r>
              <w:rPr>
                <w:b w:val="0"/>
                <w:sz w:val="17"/>
              </w:rPr>
              <w:t>None</w:t>
            </w:r>
          </w:p>
        </w:tc>
        <w:tc>
          <w:tcPr>
            <w:tcW w:type="dxa" w:w="3744"/>
            <w:vAlign w:val="top"/>
          </w:tcPr>
          <w:p>
            <w:r>
              <w:rPr>
                <w:sz w:val="17"/>
              </w:rPr>
            </w:r>
            <w:r>
              <w:rPr>
                <w:b w:val="0"/>
                <w:sz w:val="17"/>
              </w:rPr>
              <w:t>Master field. Provides currency and country code.</w:t>
            </w:r>
          </w:p>
        </w:tc>
      </w:tr>
      <w:tr>
        <w:tc>
          <w:tcPr>
            <w:tcW w:type="dxa" w:w="2160"/>
            <w:vAlign w:val="top"/>
          </w:tcPr>
          <w:p>
            <w:r>
              <w:rPr>
                <w:sz w:val="17"/>
              </w:rPr>
            </w:r>
            <w:r>
              <w:rPr>
                <w:b w:val="0"/>
                <w:sz w:val="17"/>
              </w:rPr>
              <w:t>Company type</w:t>
            </w:r>
          </w:p>
        </w:tc>
        <w:tc>
          <w:tcPr>
            <w:tcW w:type="dxa" w:w="2016"/>
            <w:vAlign w:val="top"/>
          </w:tcPr>
          <w:p>
            <w:r>
              <w:rPr>
                <w:sz w:val="17"/>
              </w:rPr>
            </w:r>
            <w:r>
              <w:rPr>
                <w:b w:val="0"/>
                <w:sz w:val="17"/>
              </w:rPr>
              <w:t>company_types</w:t>
            </w:r>
          </w:p>
        </w:tc>
        <w:tc>
          <w:tcPr>
            <w:tcW w:type="dxa" w:w="2736"/>
            <w:vAlign w:val="top"/>
          </w:tcPr>
          <w:p>
            <w:r>
              <w:rPr>
                <w:sz w:val="17"/>
              </w:rPr>
            </w:r>
            <w:r>
              <w:rPr>
                <w:b w:val="0"/>
                <w:sz w:val="17"/>
              </w:rPr>
              <w:t>country_id</w:t>
            </w:r>
          </w:p>
        </w:tc>
        <w:tc>
          <w:tcPr>
            <w:tcW w:type="dxa" w:w="3744"/>
            <w:vAlign w:val="top"/>
          </w:tcPr>
          <w:p>
            <w:r>
              <w:rPr>
                <w:sz w:val="17"/>
              </w:rPr>
            </w:r>
            <w:r>
              <w:rPr>
                <w:b w:val="0"/>
                <w:sz w:val="17"/>
              </w:rPr>
              <w:t>Dropdown contains only legal forms available for selected country.</w:t>
            </w:r>
          </w:p>
        </w:tc>
      </w:tr>
      <w:tr>
        <w:tc>
          <w:tcPr>
            <w:tcW w:type="dxa" w:w="2160"/>
            <w:vAlign w:val="top"/>
          </w:tcPr>
          <w:p>
            <w:r>
              <w:rPr>
                <w:sz w:val="17"/>
              </w:rPr>
            </w:r>
            <w:r>
              <w:rPr>
                <w:b w:val="0"/>
                <w:sz w:val="17"/>
              </w:rPr>
              <w:t>Business model</w:t>
            </w:r>
          </w:p>
        </w:tc>
        <w:tc>
          <w:tcPr>
            <w:tcW w:type="dxa" w:w="2016"/>
            <w:vAlign w:val="top"/>
          </w:tcPr>
          <w:p>
            <w:r>
              <w:rPr>
                <w:sz w:val="17"/>
              </w:rPr>
            </w:r>
            <w:r>
              <w:rPr>
                <w:b w:val="0"/>
                <w:sz w:val="17"/>
              </w:rPr>
              <w:t>business_models</w:t>
            </w:r>
          </w:p>
        </w:tc>
        <w:tc>
          <w:tcPr>
            <w:tcW w:type="dxa" w:w="2736"/>
            <w:vAlign w:val="top"/>
          </w:tcPr>
          <w:p>
            <w:r>
              <w:rPr>
                <w:sz w:val="17"/>
              </w:rPr>
            </w:r>
            <w:r>
              <w:rPr>
                <w:b w:val="0"/>
                <w:sz w:val="17"/>
              </w:rPr>
              <w:t>None or country-specific in later version</w:t>
            </w:r>
          </w:p>
        </w:tc>
        <w:tc>
          <w:tcPr>
            <w:tcW w:type="dxa" w:w="3744"/>
            <w:vAlign w:val="top"/>
          </w:tcPr>
          <w:p>
            <w:r>
              <w:rPr>
                <w:sz w:val="17"/>
              </w:rPr>
            </w:r>
            <w:r>
              <w:rPr>
                <w:b w:val="0"/>
                <w:sz w:val="17"/>
              </w:rPr>
              <w:t>Fleet operator, owner-operator, subcontractor or mixed model.</w:t>
            </w:r>
          </w:p>
        </w:tc>
      </w:tr>
      <w:tr>
        <w:tc>
          <w:tcPr>
            <w:tcW w:type="dxa" w:w="2160"/>
            <w:vAlign w:val="top"/>
          </w:tcPr>
          <w:p>
            <w:r>
              <w:rPr>
                <w:sz w:val="17"/>
              </w:rPr>
            </w:r>
            <w:r>
              <w:rPr>
                <w:b w:val="0"/>
                <w:sz w:val="17"/>
              </w:rPr>
              <w:t>Tax profile</w:t>
            </w:r>
          </w:p>
        </w:tc>
        <w:tc>
          <w:tcPr>
            <w:tcW w:type="dxa" w:w="2016"/>
            <w:vAlign w:val="top"/>
          </w:tcPr>
          <w:p>
            <w:r>
              <w:rPr>
                <w:sz w:val="17"/>
              </w:rPr>
            </w:r>
            <w:r>
              <w:rPr>
                <w:b w:val="0"/>
                <w:sz w:val="17"/>
              </w:rPr>
              <w:t>tax_rules</w:t>
            </w:r>
          </w:p>
        </w:tc>
        <w:tc>
          <w:tcPr>
            <w:tcW w:type="dxa" w:w="2736"/>
            <w:vAlign w:val="top"/>
          </w:tcPr>
          <w:p>
            <w:r>
              <w:rPr>
                <w:sz w:val="17"/>
              </w:rPr>
            </w:r>
            <w:r>
              <w:rPr>
                <w:b w:val="0"/>
                <w:sz w:val="17"/>
              </w:rPr>
              <w:t>country_id + company_type_id</w:t>
            </w:r>
          </w:p>
        </w:tc>
        <w:tc>
          <w:tcPr>
            <w:tcW w:type="dxa" w:w="3744"/>
            <w:vAlign w:val="top"/>
          </w:tcPr>
          <w:p>
            <w:r>
              <w:rPr>
                <w:sz w:val="17"/>
              </w:rPr>
            </w:r>
            <w:r>
              <w:rPr>
                <w:b w:val="0"/>
                <w:sz w:val="17"/>
              </w:rPr>
              <w:t>Prefills VAT, CIT/business tax, local tax, employer contribution, vehicle tax default and notes.</w:t>
            </w:r>
          </w:p>
        </w:tc>
      </w:tr>
    </w:tbl>
    <w:p>
      <w:pPr>
        <w:pStyle w:val="Heading2"/>
      </w:pPr>
      <w:r>
        <w:t>9.1 Tax Rule Governance</w:t>
      </w:r>
    </w:p>
    <w:p>
      <w:pPr>
        <w:pStyle w:val="ListBullet"/>
      </w:pPr>
      <w:r>
        <w:t>Every tax rule must store source name, source URL, source date, last reviewed date, valid from, valid to and rule status.</w:t>
      </w:r>
    </w:p>
    <w:p>
      <w:pPr>
        <w:pStyle w:val="ListBullet"/>
      </w:pPr>
      <w:r>
        <w:t>Tax rules must be versioned. Updating a tax rule must not silently alter historical calculation runs.</w:t>
      </w:r>
    </w:p>
    <w:p>
      <w:pPr>
        <w:pStyle w:val="ListBullet"/>
      </w:pPr>
      <w:r>
        <w:t>Saved runs must store the exact tax values used at calculation time as a snapshot.</w:t>
      </w:r>
    </w:p>
    <w:p>
      <w:pPr>
        <w:pStyle w:val="ListBullet"/>
      </w:pPr>
      <w:r>
        <w:t>Tax defaults are model assumptions and must be presented as indicative unless reviewed by a tax professional.</w:t>
      </w:r>
    </w:p>
    <w:p>
      <w:pPr>
        <w:pStyle w:val="ListBullet"/>
      </w:pPr>
      <w:r>
        <w:t>Vehicle tax defaults are particularly sensitive and should be editable per scenario because the real value can depend on weight, registration class, emissions, axle configuration, country, toll system and route.</w:t>
      </w:r>
    </w:p>
    <w:tbl>
      <w:tblPr>
        <w:tblStyle w:val="TableGrid"/>
        <w:tblW w:type="auto" w:w="0"/>
        <w:tblLook w:firstColumn="1" w:firstRow="1" w:lastColumn="0" w:lastRow="0" w:noHBand="0" w:noVBand="1" w:val="04A0"/>
      </w:tblPr>
      <w:tblGrid>
        <w:gridCol w:w="10368"/>
      </w:tblGrid>
      <w:tr>
        <w:tc>
          <w:tcPr>
            <w:tcW w:type="dxa" w:w="10368"/>
            <w:shd w:fill="0F766E"/>
          </w:tcPr>
          <w:p>
            <w:r/>
            <w:r>
              <w:rPr>
                <w:b/>
                <w:color w:val="FFFFFF"/>
                <w:sz w:val="17"/>
              </w:rPr>
              <w:t>Mandatory disclaimer</w:t>
            </w:r>
          </w:p>
        </w:tc>
      </w:tr>
      <w:tr>
        <w:tc>
          <w:tcPr>
            <w:tcW w:type="dxa" w:w="10368"/>
            <w:shd w:fill="FEF3C7"/>
          </w:tcPr>
          <w:p>
            <w:r/>
            <w:r>
              <w:rPr>
                <w:sz w:val="18"/>
              </w:rPr>
              <w:t>The tax profile is a modelling layer for business planning. It is not tax advice. All country-specific tax and payroll assumptions require review before commercial or statutory use.</w:t>
            </w:r>
          </w:p>
        </w:tc>
      </w:tr>
    </w:tbl>
    <w:p>
      <w:pPr>
        <w:pStyle w:val="Heading1"/>
      </w:pPr>
      <w:r>
        <w:t>10. Vehicle Classes and Load Capability</w:t>
      </w:r>
    </w:p>
    <w:p>
      <w:r>
        <w:t>Vehicle classes support sensitivity from van to articulated and high-capacity truck. The class determines default payload, fuel consumption and fixed-cost proxy, while the user can adjust payload utilisation and cost assumptions for the scenario.</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top"/>
            <w:shd w:fill="0F766E"/>
          </w:tcPr>
          <w:p>
            <w:r>
              <w:rPr>
                <w:b/>
                <w:color w:val="FFFFFF"/>
                <w:sz w:val="17"/>
              </w:rPr>
            </w:r>
            <w:r>
              <w:rPr>
                <w:b/>
                <w:color w:val="FFFFFF"/>
                <w:sz w:val="17"/>
              </w:rPr>
              <w:t>Class code</w:t>
            </w:r>
          </w:p>
        </w:tc>
        <w:tc>
          <w:tcPr>
            <w:tcW w:type="dxa" w:w="2304"/>
            <w:vAlign w:val="top"/>
            <w:shd w:fill="0F766E"/>
          </w:tcPr>
          <w:p>
            <w:r>
              <w:rPr>
                <w:b/>
                <w:color w:val="FFFFFF"/>
                <w:sz w:val="17"/>
              </w:rPr>
            </w:r>
            <w:r>
              <w:rPr>
                <w:b/>
                <w:color w:val="FFFFFF"/>
                <w:sz w:val="17"/>
              </w:rPr>
              <w:t>Display name</w:t>
            </w:r>
          </w:p>
        </w:tc>
        <w:tc>
          <w:tcPr>
            <w:tcW w:type="dxa" w:w="3312"/>
            <w:vAlign w:val="top"/>
            <w:shd w:fill="0F766E"/>
          </w:tcPr>
          <w:p>
            <w:r>
              <w:rPr>
                <w:b/>
                <w:color w:val="FFFFFF"/>
                <w:sz w:val="17"/>
              </w:rPr>
            </w:r>
            <w:r>
              <w:rPr>
                <w:b/>
                <w:color w:val="FFFFFF"/>
                <w:sz w:val="17"/>
              </w:rPr>
              <w:t>Payload logic</w:t>
            </w:r>
          </w:p>
        </w:tc>
        <w:tc>
          <w:tcPr>
            <w:tcW w:type="dxa" w:w="2880"/>
            <w:vAlign w:val="top"/>
            <w:shd w:fill="0F766E"/>
          </w:tcPr>
          <w:p>
            <w:r>
              <w:rPr>
                <w:b/>
                <w:color w:val="FFFFFF"/>
                <w:sz w:val="17"/>
              </w:rPr>
            </w:r>
            <w:r>
              <w:rPr>
                <w:b/>
                <w:color w:val="FFFFFF"/>
                <w:sz w:val="17"/>
              </w:rPr>
              <w:t>Regulatory note</w:t>
            </w:r>
          </w:p>
        </w:tc>
      </w:tr>
      <w:tr>
        <w:tc>
          <w:tcPr>
            <w:tcW w:type="dxa" w:w="2160"/>
            <w:vAlign w:val="top"/>
          </w:tcPr>
          <w:p>
            <w:r>
              <w:rPr>
                <w:sz w:val="17"/>
              </w:rPr>
            </w:r>
            <w:r>
              <w:rPr>
                <w:b w:val="0"/>
                <w:sz w:val="17"/>
              </w:rPr>
              <w:t>SMALL_VAN</w:t>
            </w:r>
          </w:p>
        </w:tc>
        <w:tc>
          <w:tcPr>
            <w:tcW w:type="dxa" w:w="2304"/>
            <w:vAlign w:val="top"/>
          </w:tcPr>
          <w:p>
            <w:r>
              <w:rPr>
                <w:sz w:val="17"/>
              </w:rPr>
            </w:r>
            <w:r>
              <w:rPr>
                <w:b w:val="0"/>
                <w:sz w:val="17"/>
              </w:rPr>
              <w:t>Small van</w:t>
            </w:r>
          </w:p>
        </w:tc>
        <w:tc>
          <w:tcPr>
            <w:tcW w:type="dxa" w:w="3312"/>
            <w:vAlign w:val="top"/>
          </w:tcPr>
          <w:p>
            <w:r>
              <w:rPr>
                <w:sz w:val="17"/>
              </w:rPr>
            </w:r>
            <w:r>
              <w:rPr>
                <w:b w:val="0"/>
                <w:sz w:val="17"/>
              </w:rPr>
              <w:t>Low payload, lower fixed cost, higher cost per tonne-km when underloaded.</w:t>
            </w:r>
          </w:p>
        </w:tc>
        <w:tc>
          <w:tcPr>
            <w:tcW w:type="dxa" w:w="2880"/>
            <w:vAlign w:val="top"/>
          </w:tcPr>
          <w:p>
            <w:r>
              <w:rPr>
                <w:sz w:val="17"/>
              </w:rPr>
            </w:r>
            <w:r>
              <w:rPr>
                <w:b w:val="0"/>
                <w:sz w:val="17"/>
              </w:rPr>
              <w:t>Useful for parcels and light distribution.</w:t>
            </w:r>
          </w:p>
        </w:tc>
      </w:tr>
      <w:tr>
        <w:tc>
          <w:tcPr>
            <w:tcW w:type="dxa" w:w="2160"/>
            <w:vAlign w:val="top"/>
          </w:tcPr>
          <w:p>
            <w:r>
              <w:rPr>
                <w:sz w:val="17"/>
              </w:rPr>
            </w:r>
            <w:r>
              <w:rPr>
                <w:b w:val="0"/>
                <w:sz w:val="17"/>
              </w:rPr>
              <w:t>LARGE_VAN_3_5T</w:t>
            </w:r>
          </w:p>
        </w:tc>
        <w:tc>
          <w:tcPr>
            <w:tcW w:type="dxa" w:w="2304"/>
            <w:vAlign w:val="top"/>
          </w:tcPr>
          <w:p>
            <w:r>
              <w:rPr>
                <w:sz w:val="17"/>
              </w:rPr>
            </w:r>
            <w:r>
              <w:rPr>
                <w:b w:val="0"/>
                <w:sz w:val="17"/>
              </w:rPr>
              <w:t>Large van 3.5t</w:t>
            </w:r>
          </w:p>
        </w:tc>
        <w:tc>
          <w:tcPr>
            <w:tcW w:type="dxa" w:w="3312"/>
            <w:vAlign w:val="top"/>
          </w:tcPr>
          <w:p>
            <w:r>
              <w:rPr>
                <w:sz w:val="17"/>
              </w:rPr>
            </w:r>
            <w:r>
              <w:rPr>
                <w:b w:val="0"/>
                <w:sz w:val="17"/>
              </w:rPr>
              <w:t>Higher van payload but still constrained by gross weight.</w:t>
            </w:r>
          </w:p>
        </w:tc>
        <w:tc>
          <w:tcPr>
            <w:tcW w:type="dxa" w:w="2880"/>
            <w:vAlign w:val="top"/>
          </w:tcPr>
          <w:p>
            <w:r>
              <w:rPr>
                <w:sz w:val="17"/>
              </w:rPr>
            </w:r>
            <w:r>
              <w:rPr>
                <w:b w:val="0"/>
                <w:sz w:val="17"/>
              </w:rPr>
              <w:t>Often limited by licence and payload configuration.</w:t>
            </w:r>
          </w:p>
        </w:tc>
      </w:tr>
      <w:tr>
        <w:tc>
          <w:tcPr>
            <w:tcW w:type="dxa" w:w="2160"/>
            <w:vAlign w:val="top"/>
          </w:tcPr>
          <w:p>
            <w:r>
              <w:rPr>
                <w:sz w:val="17"/>
              </w:rPr>
            </w:r>
            <w:r>
              <w:rPr>
                <w:b w:val="0"/>
                <w:sz w:val="17"/>
              </w:rPr>
              <w:t>LIGHT_TRUCK_7_5T</w:t>
            </w:r>
          </w:p>
        </w:tc>
        <w:tc>
          <w:tcPr>
            <w:tcW w:type="dxa" w:w="2304"/>
            <w:vAlign w:val="top"/>
          </w:tcPr>
          <w:p>
            <w:r>
              <w:rPr>
                <w:sz w:val="17"/>
              </w:rPr>
            </w:r>
            <w:r>
              <w:rPr>
                <w:b w:val="0"/>
                <w:sz w:val="17"/>
              </w:rPr>
              <w:t>Light truck 7.5t</w:t>
            </w:r>
          </w:p>
        </w:tc>
        <w:tc>
          <w:tcPr>
            <w:tcW w:type="dxa" w:w="3312"/>
            <w:vAlign w:val="top"/>
          </w:tcPr>
          <w:p>
            <w:r>
              <w:rPr>
                <w:sz w:val="17"/>
              </w:rPr>
            </w:r>
            <w:r>
              <w:rPr>
                <w:b w:val="0"/>
                <w:sz w:val="17"/>
              </w:rPr>
              <w:t>Intermediate urban/regional capacity.</w:t>
            </w:r>
          </w:p>
        </w:tc>
        <w:tc>
          <w:tcPr>
            <w:tcW w:type="dxa" w:w="2880"/>
            <w:vAlign w:val="top"/>
          </w:tcPr>
          <w:p>
            <w:r>
              <w:rPr>
                <w:sz w:val="17"/>
              </w:rPr>
            </w:r>
            <w:r>
              <w:rPr>
                <w:b w:val="0"/>
                <w:sz w:val="17"/>
              </w:rPr>
              <w:t>Local weight and licence rules apply.</w:t>
            </w:r>
          </w:p>
        </w:tc>
      </w:tr>
      <w:tr>
        <w:tc>
          <w:tcPr>
            <w:tcW w:type="dxa" w:w="2160"/>
            <w:vAlign w:val="top"/>
          </w:tcPr>
          <w:p>
            <w:r>
              <w:rPr>
                <w:sz w:val="17"/>
              </w:rPr>
            </w:r>
            <w:r>
              <w:rPr>
                <w:b w:val="0"/>
                <w:sz w:val="17"/>
              </w:rPr>
              <w:t>RIGID_12T</w:t>
            </w:r>
          </w:p>
        </w:tc>
        <w:tc>
          <w:tcPr>
            <w:tcW w:type="dxa" w:w="2304"/>
            <w:vAlign w:val="top"/>
          </w:tcPr>
          <w:p>
            <w:r>
              <w:rPr>
                <w:sz w:val="17"/>
              </w:rPr>
            </w:r>
            <w:r>
              <w:rPr>
                <w:b w:val="0"/>
                <w:sz w:val="17"/>
              </w:rPr>
              <w:t>Rigid truck 12t</w:t>
            </w:r>
          </w:p>
        </w:tc>
        <w:tc>
          <w:tcPr>
            <w:tcW w:type="dxa" w:w="3312"/>
            <w:vAlign w:val="top"/>
          </w:tcPr>
          <w:p>
            <w:r>
              <w:rPr>
                <w:sz w:val="17"/>
              </w:rPr>
            </w:r>
            <w:r>
              <w:rPr>
                <w:b w:val="0"/>
                <w:sz w:val="17"/>
              </w:rPr>
              <w:t>Regional distribution class.</w:t>
            </w:r>
          </w:p>
        </w:tc>
        <w:tc>
          <w:tcPr>
            <w:tcW w:type="dxa" w:w="2880"/>
            <w:vAlign w:val="top"/>
          </w:tcPr>
          <w:p>
            <w:r>
              <w:rPr>
                <w:sz w:val="17"/>
              </w:rPr>
            </w:r>
            <w:r>
              <w:rPr>
                <w:b w:val="0"/>
                <w:sz w:val="17"/>
              </w:rPr>
              <w:t>Payload depends on body configuration.</w:t>
            </w:r>
          </w:p>
        </w:tc>
      </w:tr>
      <w:tr>
        <w:tc>
          <w:tcPr>
            <w:tcW w:type="dxa" w:w="2160"/>
            <w:vAlign w:val="top"/>
          </w:tcPr>
          <w:p>
            <w:r>
              <w:rPr>
                <w:sz w:val="17"/>
              </w:rPr>
            </w:r>
            <w:r>
              <w:rPr>
                <w:b w:val="0"/>
                <w:sz w:val="17"/>
              </w:rPr>
              <w:t>RIGID_18T</w:t>
            </w:r>
          </w:p>
        </w:tc>
        <w:tc>
          <w:tcPr>
            <w:tcW w:type="dxa" w:w="2304"/>
            <w:vAlign w:val="top"/>
          </w:tcPr>
          <w:p>
            <w:r>
              <w:rPr>
                <w:sz w:val="17"/>
              </w:rPr>
            </w:r>
            <w:r>
              <w:rPr>
                <w:b w:val="0"/>
                <w:sz w:val="17"/>
              </w:rPr>
              <w:t>Rigid truck 18t</w:t>
            </w:r>
          </w:p>
        </w:tc>
        <w:tc>
          <w:tcPr>
            <w:tcW w:type="dxa" w:w="3312"/>
            <w:vAlign w:val="top"/>
          </w:tcPr>
          <w:p>
            <w:r>
              <w:rPr>
                <w:sz w:val="17"/>
              </w:rPr>
            </w:r>
            <w:r>
              <w:rPr>
                <w:b w:val="0"/>
                <w:sz w:val="17"/>
              </w:rPr>
              <w:t>Higher regional payload.</w:t>
            </w:r>
          </w:p>
        </w:tc>
        <w:tc>
          <w:tcPr>
            <w:tcW w:type="dxa" w:w="2880"/>
            <w:vAlign w:val="top"/>
          </w:tcPr>
          <w:p>
            <w:r>
              <w:rPr>
                <w:sz w:val="17"/>
              </w:rPr>
            </w:r>
            <w:r>
              <w:rPr>
                <w:b w:val="0"/>
                <w:sz w:val="17"/>
              </w:rPr>
              <w:t>Axle and body configuration relevant.</w:t>
            </w:r>
          </w:p>
        </w:tc>
      </w:tr>
      <w:tr>
        <w:tc>
          <w:tcPr>
            <w:tcW w:type="dxa" w:w="2160"/>
            <w:vAlign w:val="top"/>
          </w:tcPr>
          <w:p>
            <w:r>
              <w:rPr>
                <w:sz w:val="17"/>
              </w:rPr>
            </w:r>
            <w:r>
              <w:rPr>
                <w:b w:val="0"/>
                <w:sz w:val="17"/>
              </w:rPr>
              <w:t>RIGID_26T</w:t>
            </w:r>
          </w:p>
        </w:tc>
        <w:tc>
          <w:tcPr>
            <w:tcW w:type="dxa" w:w="2304"/>
            <w:vAlign w:val="top"/>
          </w:tcPr>
          <w:p>
            <w:r>
              <w:rPr>
                <w:sz w:val="17"/>
              </w:rPr>
            </w:r>
            <w:r>
              <w:rPr>
                <w:b w:val="0"/>
                <w:sz w:val="17"/>
              </w:rPr>
              <w:t>Rigid truck 26t</w:t>
            </w:r>
          </w:p>
        </w:tc>
        <w:tc>
          <w:tcPr>
            <w:tcW w:type="dxa" w:w="3312"/>
            <w:vAlign w:val="top"/>
          </w:tcPr>
          <w:p>
            <w:r>
              <w:rPr>
                <w:sz w:val="17"/>
              </w:rPr>
            </w:r>
            <w:r>
              <w:rPr>
                <w:b w:val="0"/>
                <w:sz w:val="17"/>
              </w:rPr>
              <w:t>Large rigid distribution vehicle.</w:t>
            </w:r>
          </w:p>
        </w:tc>
        <w:tc>
          <w:tcPr>
            <w:tcW w:type="dxa" w:w="2880"/>
            <w:vAlign w:val="top"/>
          </w:tcPr>
          <w:p>
            <w:r>
              <w:rPr>
                <w:sz w:val="17"/>
              </w:rPr>
            </w:r>
            <w:r>
              <w:rPr>
                <w:b w:val="0"/>
                <w:sz w:val="17"/>
              </w:rPr>
              <w:t>Often used for heavier regional work.</w:t>
            </w:r>
          </w:p>
        </w:tc>
      </w:tr>
      <w:tr>
        <w:tc>
          <w:tcPr>
            <w:tcW w:type="dxa" w:w="2160"/>
            <w:vAlign w:val="top"/>
          </w:tcPr>
          <w:p>
            <w:r>
              <w:rPr>
                <w:sz w:val="17"/>
              </w:rPr>
            </w:r>
            <w:r>
              <w:rPr>
                <w:b w:val="0"/>
                <w:sz w:val="17"/>
              </w:rPr>
              <w:t>ARTICULATED_40T</w:t>
            </w:r>
          </w:p>
        </w:tc>
        <w:tc>
          <w:tcPr>
            <w:tcW w:type="dxa" w:w="2304"/>
            <w:vAlign w:val="top"/>
          </w:tcPr>
          <w:p>
            <w:r>
              <w:rPr>
                <w:sz w:val="17"/>
              </w:rPr>
            </w:r>
            <w:r>
              <w:rPr>
                <w:b w:val="0"/>
                <w:sz w:val="17"/>
              </w:rPr>
              <w:t>Articulated 40t</w:t>
            </w:r>
          </w:p>
        </w:tc>
        <w:tc>
          <w:tcPr>
            <w:tcW w:type="dxa" w:w="3312"/>
            <w:vAlign w:val="top"/>
          </w:tcPr>
          <w:p>
            <w:r>
              <w:rPr>
                <w:sz w:val="17"/>
              </w:rPr>
            </w:r>
            <w:r>
              <w:rPr>
                <w:b w:val="0"/>
                <w:sz w:val="17"/>
              </w:rPr>
              <w:t>Main heavy-goods baseline.</w:t>
            </w:r>
          </w:p>
        </w:tc>
        <w:tc>
          <w:tcPr>
            <w:tcW w:type="dxa" w:w="2880"/>
            <w:vAlign w:val="top"/>
          </w:tcPr>
          <w:p>
            <w:r>
              <w:rPr>
                <w:sz w:val="17"/>
              </w:rPr>
            </w:r>
            <w:r>
              <w:rPr>
                <w:b w:val="0"/>
                <w:sz w:val="17"/>
              </w:rPr>
              <w:t>Normal heavy road-freight reference class.</w:t>
            </w:r>
          </w:p>
        </w:tc>
      </w:tr>
      <w:tr>
        <w:tc>
          <w:tcPr>
            <w:tcW w:type="dxa" w:w="2160"/>
            <w:vAlign w:val="top"/>
          </w:tcPr>
          <w:p>
            <w:r>
              <w:rPr>
                <w:sz w:val="17"/>
              </w:rPr>
            </w:r>
            <w:r>
              <w:rPr>
                <w:b w:val="0"/>
                <w:sz w:val="17"/>
              </w:rPr>
              <w:t>ARTICULATED_44T</w:t>
            </w:r>
          </w:p>
        </w:tc>
        <w:tc>
          <w:tcPr>
            <w:tcW w:type="dxa" w:w="2304"/>
            <w:vAlign w:val="top"/>
          </w:tcPr>
          <w:p>
            <w:r>
              <w:rPr>
                <w:sz w:val="17"/>
              </w:rPr>
            </w:r>
            <w:r>
              <w:rPr>
                <w:b w:val="0"/>
                <w:sz w:val="17"/>
              </w:rPr>
              <w:t>Articulated 44t</w:t>
            </w:r>
          </w:p>
        </w:tc>
        <w:tc>
          <w:tcPr>
            <w:tcW w:type="dxa" w:w="3312"/>
            <w:vAlign w:val="top"/>
          </w:tcPr>
          <w:p>
            <w:r>
              <w:rPr>
                <w:sz w:val="17"/>
              </w:rPr>
            </w:r>
            <w:r>
              <w:rPr>
                <w:b w:val="0"/>
                <w:sz w:val="17"/>
              </w:rPr>
              <w:t>Higher payload where allowed.</w:t>
            </w:r>
          </w:p>
        </w:tc>
        <w:tc>
          <w:tcPr>
            <w:tcW w:type="dxa" w:w="2880"/>
            <w:vAlign w:val="top"/>
          </w:tcPr>
          <w:p>
            <w:r>
              <w:rPr>
                <w:sz w:val="17"/>
              </w:rPr>
            </w:r>
            <w:r>
              <w:rPr>
                <w:b w:val="0"/>
                <w:sz w:val="17"/>
              </w:rPr>
              <w:t>Often context-specific, including combined transport.</w:t>
            </w:r>
          </w:p>
        </w:tc>
      </w:tr>
      <w:tr>
        <w:tc>
          <w:tcPr>
            <w:tcW w:type="dxa" w:w="2160"/>
            <w:vAlign w:val="top"/>
          </w:tcPr>
          <w:p>
            <w:r>
              <w:rPr>
                <w:sz w:val="17"/>
              </w:rPr>
            </w:r>
            <w:r>
              <w:rPr>
                <w:b w:val="0"/>
                <w:sz w:val="17"/>
              </w:rPr>
              <w:t>EMS_60T</w:t>
            </w:r>
          </w:p>
        </w:tc>
        <w:tc>
          <w:tcPr>
            <w:tcW w:type="dxa" w:w="2304"/>
            <w:vAlign w:val="top"/>
          </w:tcPr>
          <w:p>
            <w:r>
              <w:rPr>
                <w:sz w:val="17"/>
              </w:rPr>
            </w:r>
            <w:r>
              <w:rPr>
                <w:b w:val="0"/>
                <w:sz w:val="17"/>
              </w:rPr>
              <w:t>EMS / high-capacity 60t</w:t>
            </w:r>
          </w:p>
        </w:tc>
        <w:tc>
          <w:tcPr>
            <w:tcW w:type="dxa" w:w="3312"/>
            <w:vAlign w:val="top"/>
          </w:tcPr>
          <w:p>
            <w:r>
              <w:rPr>
                <w:sz w:val="17"/>
              </w:rPr>
            </w:r>
            <w:r>
              <w:rPr>
                <w:b w:val="0"/>
                <w:sz w:val="17"/>
              </w:rPr>
              <w:t>Maximum sensitivity class.</w:t>
            </w:r>
          </w:p>
        </w:tc>
        <w:tc>
          <w:tcPr>
            <w:tcW w:type="dxa" w:w="2880"/>
            <w:vAlign w:val="top"/>
          </w:tcPr>
          <w:p>
            <w:r>
              <w:rPr>
                <w:sz w:val="17"/>
              </w:rPr>
            </w:r>
            <w:r>
              <w:rPr>
                <w:b w:val="0"/>
                <w:sz w:val="17"/>
              </w:rPr>
              <w:t>Country, route and permit dependent; not a universal assumption.</w:t>
            </w:r>
          </w:p>
        </w:tc>
      </w:tr>
    </w:tbl>
    <w:p>
      <w:pPr>
        <w:pStyle w:val="Heading1"/>
      </w:pPr>
      <w:r>
        <w:t>11. Pricing Scenarios and After-Tax Profitability</w:t>
      </w:r>
    </w:p>
    <w:p>
      <w:r>
        <w:t>The pricing module must not ask the user to enter a customer rate first. The customer rate is generated after operational break-even is known. The user selects markup percentages, and the system calculates revenue, tax and after-tax margin.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736"/>
            <w:vAlign w:val="top"/>
            <w:shd w:fill="0F766E"/>
          </w:tcPr>
          <w:p>
            <w:r>
              <w:rPr>
                <w:b/>
                <w:color w:val="FFFFFF"/>
                <w:sz w:val="17"/>
              </w:rPr>
            </w:r>
            <w:r>
              <w:rPr>
                <w:b/>
                <w:color w:val="FFFFFF"/>
                <w:sz w:val="17"/>
              </w:rPr>
              <w:t>Scenario field</w:t>
            </w:r>
          </w:p>
        </w:tc>
        <w:tc>
          <w:tcPr>
            <w:tcW w:type="dxa" w:w="4032"/>
            <w:vAlign w:val="top"/>
            <w:shd w:fill="0F766E"/>
          </w:tcPr>
          <w:p>
            <w:r>
              <w:rPr>
                <w:b/>
                <w:color w:val="FFFFFF"/>
                <w:sz w:val="17"/>
              </w:rPr>
            </w:r>
            <w:r>
              <w:rPr>
                <w:b/>
                <w:color w:val="FFFFFF"/>
                <w:sz w:val="17"/>
              </w:rPr>
              <w:t>Formula / logic</w:t>
            </w:r>
          </w:p>
        </w:tc>
        <w:tc>
          <w:tcPr>
            <w:tcW w:type="dxa" w:w="3888"/>
            <w:vAlign w:val="top"/>
            <w:shd w:fill="0F766E"/>
          </w:tcPr>
          <w:p>
            <w:r>
              <w:rPr>
                <w:b/>
                <w:color w:val="FFFFFF"/>
                <w:sz w:val="17"/>
              </w:rPr>
            </w:r>
            <w:r>
              <w:rPr>
                <w:b/>
                <w:color w:val="FFFFFF"/>
                <w:sz w:val="17"/>
              </w:rPr>
              <w:t>Business note</w:t>
            </w:r>
          </w:p>
        </w:tc>
      </w:tr>
      <w:tr>
        <w:tc>
          <w:tcPr>
            <w:tcW w:type="dxa" w:w="2736"/>
            <w:vAlign w:val="top"/>
          </w:tcPr>
          <w:p>
            <w:r>
              <w:rPr>
                <w:sz w:val="17"/>
              </w:rPr>
            </w:r>
            <w:r>
              <w:rPr>
                <w:b w:val="0"/>
                <w:sz w:val="17"/>
              </w:rPr>
              <w:t>customerRateExclVat</w:t>
            </w:r>
          </w:p>
        </w:tc>
        <w:tc>
          <w:tcPr>
            <w:tcW w:type="dxa" w:w="4032"/>
            <w:vAlign w:val="top"/>
          </w:tcPr>
          <w:p>
            <w:r>
              <w:rPr>
                <w:sz w:val="17"/>
              </w:rPr>
            </w:r>
            <w:r>
              <w:rPr>
                <w:b w:val="0"/>
                <w:sz w:val="17"/>
              </w:rPr>
              <w:t>breakEvenPerLoadedKm x (1 + markupPercentage)</w:t>
            </w:r>
          </w:p>
        </w:tc>
        <w:tc>
          <w:tcPr>
            <w:tcW w:type="dxa" w:w="3888"/>
            <w:vAlign w:val="top"/>
          </w:tcPr>
          <w:p>
            <w:r>
              <w:rPr>
                <w:sz w:val="17"/>
              </w:rPr>
            </w:r>
            <w:r>
              <w:rPr>
                <w:b w:val="0"/>
                <w:sz w:val="17"/>
              </w:rPr>
              <w:t>Commercial rate before VAT. This is the profitability basis.</w:t>
            </w:r>
          </w:p>
        </w:tc>
      </w:tr>
      <w:tr>
        <w:tc>
          <w:tcPr>
            <w:tcW w:type="dxa" w:w="2736"/>
            <w:vAlign w:val="top"/>
          </w:tcPr>
          <w:p>
            <w:r>
              <w:rPr>
                <w:sz w:val="17"/>
              </w:rPr>
            </w:r>
            <w:r>
              <w:rPr>
                <w:b w:val="0"/>
                <w:sz w:val="17"/>
              </w:rPr>
              <w:t>customerRateInclVat</w:t>
            </w:r>
          </w:p>
        </w:tc>
        <w:tc>
          <w:tcPr>
            <w:tcW w:type="dxa" w:w="4032"/>
            <w:vAlign w:val="top"/>
          </w:tcPr>
          <w:p>
            <w:r>
              <w:rPr>
                <w:sz w:val="17"/>
              </w:rPr>
            </w:r>
            <w:r>
              <w:rPr>
                <w:b w:val="0"/>
                <w:sz w:val="17"/>
              </w:rPr>
              <w:t>customerRateExclVat x (1 + vatRate)</w:t>
            </w:r>
          </w:p>
        </w:tc>
        <w:tc>
          <w:tcPr>
            <w:tcW w:type="dxa" w:w="3888"/>
            <w:vAlign w:val="top"/>
          </w:tcPr>
          <w:p>
            <w:r>
              <w:rPr>
                <w:sz w:val="17"/>
              </w:rPr>
            </w:r>
            <w:r>
              <w:rPr>
                <w:b w:val="0"/>
                <w:sz w:val="17"/>
              </w:rPr>
              <w:t>Invoice view only. VAT is not profit.</w:t>
            </w:r>
          </w:p>
        </w:tc>
      </w:tr>
      <w:tr>
        <w:tc>
          <w:tcPr>
            <w:tcW w:type="dxa" w:w="2736"/>
            <w:vAlign w:val="top"/>
          </w:tcPr>
          <w:p>
            <w:r>
              <w:rPr>
                <w:sz w:val="17"/>
              </w:rPr>
            </w:r>
            <w:r>
              <w:rPr>
                <w:b w:val="0"/>
                <w:sz w:val="17"/>
              </w:rPr>
              <w:t>annualRevenueExclVat</w:t>
            </w:r>
          </w:p>
        </w:tc>
        <w:tc>
          <w:tcPr>
            <w:tcW w:type="dxa" w:w="4032"/>
            <w:vAlign w:val="top"/>
          </w:tcPr>
          <w:p>
            <w:r>
              <w:rPr>
                <w:sz w:val="17"/>
              </w:rPr>
            </w:r>
            <w:r>
              <w:rPr>
                <w:b w:val="0"/>
                <w:sz w:val="17"/>
              </w:rPr>
              <w:t>customerRateExclVat x loadedKmYear</w:t>
            </w:r>
          </w:p>
        </w:tc>
        <w:tc>
          <w:tcPr>
            <w:tcW w:type="dxa" w:w="3888"/>
            <w:vAlign w:val="top"/>
          </w:tcPr>
          <w:p>
            <w:r>
              <w:rPr>
                <w:sz w:val="17"/>
              </w:rPr>
            </w:r>
            <w:r>
              <w:rPr>
                <w:b w:val="0"/>
                <w:sz w:val="17"/>
              </w:rPr>
              <w:t>Revenue used for EBIT calculation.</w:t>
            </w:r>
          </w:p>
        </w:tc>
      </w:tr>
      <w:tr>
        <w:tc>
          <w:tcPr>
            <w:tcW w:type="dxa" w:w="2736"/>
            <w:vAlign w:val="top"/>
          </w:tcPr>
          <w:p>
            <w:r>
              <w:rPr>
                <w:sz w:val="17"/>
              </w:rPr>
            </w:r>
            <w:r>
              <w:rPr>
                <w:b w:val="0"/>
                <w:sz w:val="17"/>
              </w:rPr>
              <w:t>ebitBeforeTax</w:t>
            </w:r>
          </w:p>
        </w:tc>
        <w:tc>
          <w:tcPr>
            <w:tcW w:type="dxa" w:w="4032"/>
            <w:vAlign w:val="top"/>
          </w:tcPr>
          <w:p>
            <w:r>
              <w:rPr>
                <w:sz w:val="17"/>
              </w:rPr>
            </w:r>
            <w:r>
              <w:rPr>
                <w:b w:val="0"/>
                <w:sz w:val="17"/>
              </w:rPr>
              <w:t>annualRevenueExclVat - totalAnnualCost</w:t>
            </w:r>
          </w:p>
        </w:tc>
        <w:tc>
          <w:tcPr>
            <w:tcW w:type="dxa" w:w="3888"/>
            <w:vAlign w:val="top"/>
          </w:tcPr>
          <w:p>
            <w:r>
              <w:rPr>
                <w:sz w:val="17"/>
              </w:rPr>
            </w:r>
            <w:r>
              <w:rPr>
                <w:b w:val="0"/>
                <w:sz w:val="17"/>
              </w:rPr>
              <w:t>Operating result before business tax.</w:t>
            </w:r>
          </w:p>
        </w:tc>
      </w:tr>
      <w:tr>
        <w:tc>
          <w:tcPr>
            <w:tcW w:type="dxa" w:w="2736"/>
            <w:vAlign w:val="top"/>
          </w:tcPr>
          <w:p>
            <w:r>
              <w:rPr>
                <w:sz w:val="17"/>
              </w:rPr>
            </w:r>
            <w:r>
              <w:rPr>
                <w:b w:val="0"/>
                <w:sz w:val="17"/>
              </w:rPr>
              <w:t>businessTax</w:t>
            </w:r>
          </w:p>
        </w:tc>
        <w:tc>
          <w:tcPr>
            <w:tcW w:type="dxa" w:w="4032"/>
            <w:vAlign w:val="top"/>
          </w:tcPr>
          <w:p>
            <w:r>
              <w:rPr>
                <w:sz w:val="17"/>
              </w:rPr>
            </w:r>
            <w:r>
              <w:rPr>
                <w:b w:val="0"/>
                <w:sz w:val="17"/>
              </w:rPr>
              <w:t>max(0, ebitBeforeTax x effectiveBusinessTaxRate)</w:t>
            </w:r>
          </w:p>
        </w:tc>
        <w:tc>
          <w:tcPr>
            <w:tcW w:type="dxa" w:w="3888"/>
            <w:vAlign w:val="top"/>
          </w:tcPr>
          <w:p>
            <w:r>
              <w:rPr>
                <w:sz w:val="17"/>
              </w:rPr>
            </w:r>
            <w:r>
              <w:rPr>
                <w:b w:val="0"/>
                <w:sz w:val="17"/>
              </w:rPr>
              <w:t>No tax calculated when EBIT is negative.</w:t>
            </w:r>
          </w:p>
        </w:tc>
      </w:tr>
      <w:tr>
        <w:tc>
          <w:tcPr>
            <w:tcW w:type="dxa" w:w="2736"/>
            <w:vAlign w:val="top"/>
          </w:tcPr>
          <w:p>
            <w:r>
              <w:rPr>
                <w:sz w:val="17"/>
              </w:rPr>
            </w:r>
            <w:r>
              <w:rPr>
                <w:b w:val="0"/>
                <w:sz w:val="17"/>
              </w:rPr>
              <w:t>profitAfterTax</w:t>
            </w:r>
          </w:p>
        </w:tc>
        <w:tc>
          <w:tcPr>
            <w:tcW w:type="dxa" w:w="4032"/>
            <w:vAlign w:val="top"/>
          </w:tcPr>
          <w:p>
            <w:r>
              <w:rPr>
                <w:sz w:val="17"/>
              </w:rPr>
            </w:r>
            <w:r>
              <w:rPr>
                <w:b w:val="0"/>
                <w:sz w:val="17"/>
              </w:rPr>
              <w:t>ebitBeforeTax - businessTax</w:t>
            </w:r>
          </w:p>
        </w:tc>
        <w:tc>
          <w:tcPr>
            <w:tcW w:type="dxa" w:w="3888"/>
            <w:vAlign w:val="top"/>
          </w:tcPr>
          <w:p>
            <w:r>
              <w:rPr>
                <w:sz w:val="17"/>
              </w:rPr>
            </w:r>
            <w:r>
              <w:rPr>
                <w:b w:val="0"/>
                <w:sz w:val="17"/>
              </w:rPr>
              <w:t>Profit after business tax.</w:t>
            </w:r>
          </w:p>
        </w:tc>
      </w:tr>
      <w:tr>
        <w:tc>
          <w:tcPr>
            <w:tcW w:type="dxa" w:w="2736"/>
            <w:vAlign w:val="top"/>
          </w:tcPr>
          <w:p>
            <w:r>
              <w:rPr>
                <w:sz w:val="17"/>
              </w:rPr>
            </w:r>
            <w:r>
              <w:rPr>
                <w:b w:val="0"/>
                <w:sz w:val="17"/>
              </w:rPr>
              <w:t>afterTaxMargin</w:t>
            </w:r>
          </w:p>
        </w:tc>
        <w:tc>
          <w:tcPr>
            <w:tcW w:type="dxa" w:w="4032"/>
            <w:vAlign w:val="top"/>
          </w:tcPr>
          <w:p>
            <w:r>
              <w:rPr>
                <w:sz w:val="17"/>
              </w:rPr>
            </w:r>
            <w:r>
              <w:rPr>
                <w:b w:val="0"/>
                <w:sz w:val="17"/>
              </w:rPr>
              <w:t>profitAfterTax / annualRevenueExclVat</w:t>
            </w:r>
          </w:p>
        </w:tc>
        <w:tc>
          <w:tcPr>
            <w:tcW w:type="dxa" w:w="3888"/>
            <w:vAlign w:val="top"/>
          </w:tcPr>
          <w:p>
            <w:r>
              <w:rPr>
                <w:sz w:val="17"/>
              </w:rPr>
            </w:r>
            <w:r>
              <w:rPr>
                <w:b w:val="0"/>
                <w:sz w:val="17"/>
              </w:rPr>
              <w:t>Used for target profitability.</w:t>
            </w:r>
          </w:p>
        </w:tc>
      </w:tr>
    </w:tbl>
    <w:tbl>
      <w:tblPr>
        <w:tblStyle w:val="TableGrid"/>
        <w:tblW w:type="auto" w:w="0"/>
        <w:tblLook w:firstColumn="1" w:firstRow="1" w:lastColumn="0" w:lastRow="0" w:noHBand="0" w:noVBand="1" w:val="04A0"/>
      </w:tblPr>
      <w:tblGrid>
        <w:gridCol w:w="10368"/>
      </w:tblGrid>
      <w:tr>
        <w:tc>
          <w:tcPr>
            <w:tcW w:type="dxa" w:w="10368"/>
            <w:shd w:fill="0F766E"/>
          </w:tcPr>
          <w:p>
            <w:r/>
            <w:r>
              <w:rPr>
                <w:b/>
                <w:color w:val="FFFFFF"/>
                <w:sz w:val="17"/>
              </w:rPr>
              <w:t>Markup vs margin rule</w:t>
            </w:r>
          </w:p>
        </w:tc>
      </w:tr>
      <w:tr>
        <w:tc>
          <w:tcPr>
            <w:tcW w:type="dxa" w:w="10368"/>
            <w:shd w:fill="FEF3C7"/>
          </w:tcPr>
          <w:p>
            <w:r/>
            <w:r>
              <w:rPr>
                <w:sz w:val="18"/>
              </w:rPr>
              <w:t>A 10% markup over break-even is not the same as a 10% profit margin. For example, to reach a 10% margin, the required markup over break-even is 11.11% before tax effects.</w:t>
            </w:r>
          </w:p>
        </w:tc>
      </w:tr>
    </w:tbl>
    <w:p>
      <w:pPr>
        <w:pStyle w:val="Heading1"/>
      </w:pPr>
      <w:r>
        <w:t>12. Sensitivity and Reporting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0F766E"/>
          </w:tcPr>
          <w:p>
            <w:r>
              <w:rPr>
                <w:b/>
                <w:color w:val="FFFFFF"/>
                <w:sz w:val="17"/>
              </w:rPr>
            </w:r>
            <w:r>
              <w:rPr>
                <w:b/>
                <w:color w:val="FFFFFF"/>
                <w:sz w:val="17"/>
              </w:rPr>
              <w:t>Analysis</w:t>
            </w:r>
          </w:p>
        </w:tc>
        <w:tc>
          <w:tcPr>
            <w:tcW w:type="dxa" w:w="3600"/>
            <w:vAlign w:val="top"/>
            <w:shd w:fill="0F766E"/>
          </w:tcPr>
          <w:p>
            <w:r>
              <w:rPr>
                <w:b/>
                <w:color w:val="FFFFFF"/>
                <w:sz w:val="17"/>
              </w:rPr>
            </w:r>
            <w:r>
              <w:rPr>
                <w:b/>
                <w:color w:val="FFFFFF"/>
                <w:sz w:val="17"/>
              </w:rPr>
              <w:t>Input range</w:t>
            </w:r>
          </w:p>
        </w:tc>
        <w:tc>
          <w:tcPr>
            <w:tcW w:type="dxa" w:w="4464"/>
            <w:vAlign w:val="top"/>
            <w:shd w:fill="0F766E"/>
          </w:tcPr>
          <w:p>
            <w:r>
              <w:rPr>
                <w:b/>
                <w:color w:val="FFFFFF"/>
                <w:sz w:val="17"/>
              </w:rPr>
            </w:r>
            <w:r>
              <w:rPr>
                <w:b/>
                <w:color w:val="FFFFFF"/>
                <w:sz w:val="17"/>
              </w:rPr>
              <w:t>Output</w:t>
            </w:r>
          </w:p>
        </w:tc>
      </w:tr>
      <w:tr>
        <w:tc>
          <w:tcPr>
            <w:tcW w:type="dxa" w:w="2592"/>
            <w:vAlign w:val="top"/>
          </w:tcPr>
          <w:p>
            <w:r>
              <w:rPr>
                <w:sz w:val="17"/>
              </w:rPr>
            </w:r>
            <w:r>
              <w:rPr>
                <w:b w:val="0"/>
                <w:sz w:val="17"/>
              </w:rPr>
              <w:t>Vehicle class sensitivity</w:t>
            </w:r>
          </w:p>
        </w:tc>
        <w:tc>
          <w:tcPr>
            <w:tcW w:type="dxa" w:w="3600"/>
            <w:vAlign w:val="top"/>
          </w:tcPr>
          <w:p>
            <w:r>
              <w:rPr>
                <w:sz w:val="17"/>
              </w:rPr>
            </w:r>
            <w:r>
              <w:rPr>
                <w:b w:val="0"/>
                <w:sz w:val="17"/>
              </w:rPr>
              <w:t>Vehicle classes from small van to EMS/high-capacity truck.</w:t>
            </w:r>
          </w:p>
        </w:tc>
        <w:tc>
          <w:tcPr>
            <w:tcW w:type="dxa" w:w="4464"/>
            <w:vAlign w:val="top"/>
          </w:tcPr>
          <w:p>
            <w:r>
              <w:rPr>
                <w:sz w:val="17"/>
              </w:rPr>
            </w:r>
            <w:r>
              <w:rPr>
                <w:b w:val="0"/>
                <w:sz w:val="17"/>
              </w:rPr>
              <w:t>Break-even per loaded km and per tonne-km by vehicle type.</w:t>
            </w:r>
          </w:p>
        </w:tc>
      </w:tr>
      <w:tr>
        <w:tc>
          <w:tcPr>
            <w:tcW w:type="dxa" w:w="2592"/>
            <w:vAlign w:val="top"/>
          </w:tcPr>
          <w:p>
            <w:r>
              <w:rPr>
                <w:sz w:val="17"/>
              </w:rPr>
            </w:r>
            <w:r>
              <w:rPr>
                <w:b w:val="0"/>
                <w:sz w:val="17"/>
              </w:rPr>
              <w:t>Payload utilisation sensitivity</w:t>
            </w:r>
          </w:p>
        </w:tc>
        <w:tc>
          <w:tcPr>
            <w:tcW w:type="dxa" w:w="3600"/>
            <w:vAlign w:val="top"/>
          </w:tcPr>
          <w:p>
            <w:r>
              <w:rPr>
                <w:sz w:val="17"/>
              </w:rPr>
            </w:r>
            <w:r>
              <w:rPr>
                <w:b w:val="0"/>
                <w:sz w:val="17"/>
              </w:rPr>
              <w:t>50%, 60%, 70%, 80%, 90%, 100%.</w:t>
            </w:r>
          </w:p>
        </w:tc>
        <w:tc>
          <w:tcPr>
            <w:tcW w:type="dxa" w:w="4464"/>
            <w:vAlign w:val="top"/>
          </w:tcPr>
          <w:p>
            <w:r>
              <w:rPr>
                <w:sz w:val="17"/>
              </w:rPr>
            </w:r>
            <w:r>
              <w:rPr>
                <w:b w:val="0"/>
                <w:sz w:val="17"/>
              </w:rPr>
              <w:t>Break-even per tonne-km and annual tonne-km.</w:t>
            </w:r>
          </w:p>
        </w:tc>
      </w:tr>
      <w:tr>
        <w:tc>
          <w:tcPr>
            <w:tcW w:type="dxa" w:w="2592"/>
            <w:vAlign w:val="top"/>
          </w:tcPr>
          <w:p>
            <w:r>
              <w:rPr>
                <w:sz w:val="17"/>
              </w:rPr>
            </w:r>
            <w:r>
              <w:rPr>
                <w:b w:val="0"/>
                <w:sz w:val="17"/>
              </w:rPr>
              <w:t>Load factor sensitivity</w:t>
            </w:r>
          </w:p>
        </w:tc>
        <w:tc>
          <w:tcPr>
            <w:tcW w:type="dxa" w:w="3600"/>
            <w:vAlign w:val="top"/>
          </w:tcPr>
          <w:p>
            <w:r>
              <w:rPr>
                <w:sz w:val="17"/>
              </w:rPr>
            </w:r>
            <w:r>
              <w:rPr>
                <w:b w:val="0"/>
                <w:sz w:val="17"/>
              </w:rPr>
              <w:t>Configurable loaded-km ratios.</w:t>
            </w:r>
          </w:p>
        </w:tc>
        <w:tc>
          <w:tcPr>
            <w:tcW w:type="dxa" w:w="4464"/>
            <w:vAlign w:val="top"/>
          </w:tcPr>
          <w:p>
            <w:r>
              <w:rPr>
                <w:sz w:val="17"/>
              </w:rPr>
            </w:r>
            <w:r>
              <w:rPr>
                <w:b w:val="0"/>
                <w:sz w:val="17"/>
              </w:rPr>
              <w:t>Effect on break-even per loaded km.</w:t>
            </w:r>
          </w:p>
        </w:tc>
      </w:tr>
      <w:tr>
        <w:tc>
          <w:tcPr>
            <w:tcW w:type="dxa" w:w="2592"/>
            <w:vAlign w:val="top"/>
          </w:tcPr>
          <w:p>
            <w:r>
              <w:rPr>
                <w:sz w:val="17"/>
              </w:rPr>
            </w:r>
            <w:r>
              <w:rPr>
                <w:b w:val="0"/>
                <w:sz w:val="17"/>
              </w:rPr>
              <w:t>Markup sensitivity</w:t>
            </w:r>
          </w:p>
        </w:tc>
        <w:tc>
          <w:tcPr>
            <w:tcW w:type="dxa" w:w="3600"/>
            <w:vAlign w:val="top"/>
          </w:tcPr>
          <w:p>
            <w:r>
              <w:rPr>
                <w:sz w:val="17"/>
              </w:rPr>
            </w:r>
            <w:r>
              <w:rPr>
                <w:b w:val="0"/>
                <w:sz w:val="17"/>
              </w:rPr>
              <w:t>0%, 5%, 10%, 15%, 20%, 30%, 40%.</w:t>
            </w:r>
          </w:p>
        </w:tc>
        <w:tc>
          <w:tcPr>
            <w:tcW w:type="dxa" w:w="4464"/>
            <w:vAlign w:val="top"/>
          </w:tcPr>
          <w:p>
            <w:r>
              <w:rPr>
                <w:sz w:val="17"/>
              </w:rPr>
            </w:r>
            <w:r>
              <w:rPr>
                <w:b w:val="0"/>
                <w:sz w:val="17"/>
              </w:rPr>
              <w:t>Customer rate, EBIT and after-tax margin.</w:t>
            </w:r>
          </w:p>
        </w:tc>
      </w:tr>
      <w:tr>
        <w:tc>
          <w:tcPr>
            <w:tcW w:type="dxa" w:w="2592"/>
            <w:vAlign w:val="top"/>
          </w:tcPr>
          <w:p>
            <w:r>
              <w:rPr>
                <w:sz w:val="17"/>
              </w:rPr>
            </w:r>
            <w:r>
              <w:rPr>
                <w:b w:val="0"/>
                <w:sz w:val="17"/>
              </w:rPr>
              <w:t>Fuel price sensitivity</w:t>
            </w:r>
          </w:p>
        </w:tc>
        <w:tc>
          <w:tcPr>
            <w:tcW w:type="dxa" w:w="3600"/>
            <w:vAlign w:val="top"/>
          </w:tcPr>
          <w:p>
            <w:r>
              <w:rPr>
                <w:sz w:val="17"/>
              </w:rPr>
            </w:r>
            <w:r>
              <w:rPr>
                <w:b w:val="0"/>
                <w:sz w:val="17"/>
              </w:rPr>
              <w:t>User-defined fuel price range.</w:t>
            </w:r>
          </w:p>
        </w:tc>
        <w:tc>
          <w:tcPr>
            <w:tcW w:type="dxa" w:w="4464"/>
            <w:vAlign w:val="top"/>
          </w:tcPr>
          <w:p>
            <w:r>
              <w:rPr>
                <w:sz w:val="17"/>
              </w:rPr>
            </w:r>
            <w:r>
              <w:rPr>
                <w:b w:val="0"/>
                <w:sz w:val="17"/>
              </w:rPr>
              <w:t>Variable cost per km, total cost and break-even change.</w:t>
            </w:r>
          </w:p>
        </w:tc>
      </w:tr>
    </w:tbl>
    <w:p>
      <w:r>
        <w:t>Recommended charts for v1 are break-even EUR/loaded km by vehicle class, break-even EUR/tonne-km by payload utilisation, EBIT by markup percentage, after-tax margin by pricing scenario and cost-structure waterfall.</w:t>
      </w:r>
    </w:p>
    <w:p>
      <w:pPr>
        <w:pStyle w:val="Heading1"/>
      </w:pPr>
      <w:r>
        <w:t>13. Database Design</w:t>
      </w:r>
    </w:p>
    <w:p>
      <w:r>
        <w:t>The PostgreSQL database must separate reference data, input snapshots and output snapshots. This prevents historical calculation runs from changing when tax rules or vehicle defaults are updated later.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0F766E"/>
          </w:tcPr>
          <w:p>
            <w:r>
              <w:rPr>
                <w:b/>
                <w:color w:val="FFFFFF"/>
                <w:sz w:val="17"/>
              </w:rPr>
            </w:r>
            <w:r>
              <w:rPr>
                <w:b/>
                <w:color w:val="FFFFFF"/>
                <w:sz w:val="17"/>
              </w:rPr>
              <w:t>Table</w:t>
            </w:r>
          </w:p>
        </w:tc>
        <w:tc>
          <w:tcPr>
            <w:tcW w:type="dxa" w:w="3456"/>
            <w:vAlign w:val="top"/>
            <w:shd w:fill="0F766E"/>
          </w:tcPr>
          <w:p>
            <w:r>
              <w:rPr>
                <w:b/>
                <w:color w:val="FFFFFF"/>
                <w:sz w:val="17"/>
              </w:rPr>
            </w:r>
            <w:r>
              <w:rPr>
                <w:b/>
                <w:color w:val="FFFFFF"/>
                <w:sz w:val="17"/>
              </w:rPr>
              <w:t>Purpose</w:t>
            </w:r>
          </w:p>
        </w:tc>
        <w:tc>
          <w:tcPr>
            <w:tcW w:type="dxa" w:w="4896"/>
            <w:vAlign w:val="top"/>
            <w:shd w:fill="0F766E"/>
          </w:tcPr>
          <w:p>
            <w:r>
              <w:rPr>
                <w:b/>
                <w:color w:val="FFFFFF"/>
                <w:sz w:val="17"/>
              </w:rPr>
            </w:r>
            <w:r>
              <w:rPr>
                <w:b/>
                <w:color w:val="FFFFFF"/>
                <w:sz w:val="17"/>
              </w:rPr>
              <w:t>Key fields</w:t>
            </w:r>
          </w:p>
        </w:tc>
      </w:tr>
      <w:tr>
        <w:tc>
          <w:tcPr>
            <w:tcW w:type="dxa" w:w="2304"/>
            <w:vAlign w:val="top"/>
          </w:tcPr>
          <w:p>
            <w:r>
              <w:rPr>
                <w:sz w:val="17"/>
              </w:rPr>
            </w:r>
            <w:r>
              <w:rPr>
                <w:b w:val="0"/>
                <w:sz w:val="17"/>
              </w:rPr>
              <w:t>countries</w:t>
            </w:r>
          </w:p>
        </w:tc>
        <w:tc>
          <w:tcPr>
            <w:tcW w:type="dxa" w:w="3456"/>
            <w:vAlign w:val="top"/>
          </w:tcPr>
          <w:p>
            <w:r>
              <w:rPr>
                <w:sz w:val="17"/>
              </w:rPr>
            </w:r>
            <w:r>
              <w:rPr>
                <w:b w:val="0"/>
                <w:sz w:val="17"/>
              </w:rPr>
              <w:t>Jurisdiction master data.</w:t>
            </w:r>
          </w:p>
        </w:tc>
        <w:tc>
          <w:tcPr>
            <w:tcW w:type="dxa" w:w="4896"/>
            <w:vAlign w:val="top"/>
          </w:tcPr>
          <w:p>
            <w:r>
              <w:rPr>
                <w:sz w:val="17"/>
              </w:rPr>
            </w:r>
            <w:r>
              <w:rPr>
                <w:b w:val="0"/>
                <w:sz w:val="17"/>
              </w:rPr>
              <w:t>id, code, name, currency</w:t>
            </w:r>
          </w:p>
        </w:tc>
      </w:tr>
      <w:tr>
        <w:tc>
          <w:tcPr>
            <w:tcW w:type="dxa" w:w="2304"/>
            <w:vAlign w:val="top"/>
          </w:tcPr>
          <w:p>
            <w:r>
              <w:rPr>
                <w:sz w:val="17"/>
              </w:rPr>
            </w:r>
            <w:r>
              <w:rPr>
                <w:b w:val="0"/>
                <w:sz w:val="17"/>
              </w:rPr>
              <w:t>company_types</w:t>
            </w:r>
          </w:p>
        </w:tc>
        <w:tc>
          <w:tcPr>
            <w:tcW w:type="dxa" w:w="3456"/>
            <w:vAlign w:val="top"/>
          </w:tcPr>
          <w:p>
            <w:r>
              <w:rPr>
                <w:sz w:val="17"/>
              </w:rPr>
            </w:r>
            <w:r>
              <w:rPr>
                <w:b w:val="0"/>
                <w:sz w:val="17"/>
              </w:rPr>
              <w:t>Country-specific company legal forms.</w:t>
            </w:r>
          </w:p>
        </w:tc>
        <w:tc>
          <w:tcPr>
            <w:tcW w:type="dxa" w:w="4896"/>
            <w:vAlign w:val="top"/>
          </w:tcPr>
          <w:p>
            <w:r>
              <w:rPr>
                <w:sz w:val="17"/>
              </w:rPr>
            </w:r>
            <w:r>
              <w:rPr>
                <w:b w:val="0"/>
                <w:sz w:val="17"/>
              </w:rPr>
              <w:t>id, country_id, name</w:t>
            </w:r>
          </w:p>
        </w:tc>
      </w:tr>
      <w:tr>
        <w:tc>
          <w:tcPr>
            <w:tcW w:type="dxa" w:w="2304"/>
            <w:vAlign w:val="top"/>
          </w:tcPr>
          <w:p>
            <w:r>
              <w:rPr>
                <w:sz w:val="17"/>
              </w:rPr>
            </w:r>
            <w:r>
              <w:rPr>
                <w:b w:val="0"/>
                <w:sz w:val="17"/>
              </w:rPr>
              <w:t>business_models</w:t>
            </w:r>
          </w:p>
        </w:tc>
        <w:tc>
          <w:tcPr>
            <w:tcW w:type="dxa" w:w="3456"/>
            <w:vAlign w:val="top"/>
          </w:tcPr>
          <w:p>
            <w:r>
              <w:rPr>
                <w:sz w:val="17"/>
              </w:rPr>
            </w:r>
            <w:r>
              <w:rPr>
                <w:b w:val="0"/>
                <w:sz w:val="17"/>
              </w:rPr>
              <w:t>Operating model options.</w:t>
            </w:r>
          </w:p>
        </w:tc>
        <w:tc>
          <w:tcPr>
            <w:tcW w:type="dxa" w:w="4896"/>
            <w:vAlign w:val="top"/>
          </w:tcPr>
          <w:p>
            <w:r>
              <w:rPr>
                <w:sz w:val="17"/>
              </w:rPr>
            </w:r>
            <w:r>
              <w:rPr>
                <w:b w:val="0"/>
                <w:sz w:val="17"/>
              </w:rPr>
              <w:t>id, name, description</w:t>
            </w:r>
          </w:p>
        </w:tc>
      </w:tr>
      <w:tr>
        <w:tc>
          <w:tcPr>
            <w:tcW w:type="dxa" w:w="2304"/>
            <w:vAlign w:val="top"/>
          </w:tcPr>
          <w:p>
            <w:r>
              <w:rPr>
                <w:sz w:val="17"/>
              </w:rPr>
            </w:r>
            <w:r>
              <w:rPr>
                <w:b w:val="0"/>
                <w:sz w:val="17"/>
              </w:rPr>
              <w:t>tax_rules</w:t>
            </w:r>
          </w:p>
        </w:tc>
        <w:tc>
          <w:tcPr>
            <w:tcW w:type="dxa" w:w="3456"/>
            <w:vAlign w:val="top"/>
          </w:tcPr>
          <w:p>
            <w:r>
              <w:rPr>
                <w:sz w:val="17"/>
              </w:rPr>
            </w:r>
            <w:r>
              <w:rPr>
                <w:b w:val="0"/>
                <w:sz w:val="17"/>
              </w:rPr>
              <w:t>Country/company type fiscal defaults.</w:t>
            </w:r>
          </w:p>
        </w:tc>
        <w:tc>
          <w:tcPr>
            <w:tcW w:type="dxa" w:w="4896"/>
            <w:vAlign w:val="top"/>
          </w:tcPr>
          <w:p>
            <w:r>
              <w:rPr>
                <w:sz w:val="17"/>
              </w:rPr>
            </w:r>
            <w:r>
              <w:rPr>
                <w:b w:val="0"/>
                <w:sz w:val="17"/>
              </w:rPr>
              <w:t>country_id, company_type_id, vat_rate, effective_business_tax_rate, employer_contribution_rate, valid_from, valid_to</w:t>
            </w:r>
          </w:p>
        </w:tc>
      </w:tr>
      <w:tr>
        <w:tc>
          <w:tcPr>
            <w:tcW w:type="dxa" w:w="2304"/>
            <w:vAlign w:val="top"/>
          </w:tcPr>
          <w:p>
            <w:r>
              <w:rPr>
                <w:sz w:val="17"/>
              </w:rPr>
            </w:r>
            <w:r>
              <w:rPr>
                <w:b w:val="0"/>
                <w:sz w:val="17"/>
              </w:rPr>
              <w:t>vehicle_classes</w:t>
            </w:r>
          </w:p>
        </w:tc>
        <w:tc>
          <w:tcPr>
            <w:tcW w:type="dxa" w:w="3456"/>
            <w:vAlign w:val="top"/>
          </w:tcPr>
          <w:p>
            <w:r>
              <w:rPr>
                <w:sz w:val="17"/>
              </w:rPr>
            </w:r>
            <w:r>
              <w:rPr>
                <w:b w:val="0"/>
                <w:sz w:val="17"/>
              </w:rPr>
              <w:t>Vehicle capability defaults.</w:t>
            </w:r>
          </w:p>
        </w:tc>
        <w:tc>
          <w:tcPr>
            <w:tcW w:type="dxa" w:w="4896"/>
            <w:vAlign w:val="top"/>
          </w:tcPr>
          <w:p>
            <w:r>
              <w:rPr>
                <w:sz w:val="17"/>
              </w:rPr>
            </w:r>
            <w:r>
              <w:rPr>
                <w:b w:val="0"/>
                <w:sz w:val="17"/>
              </w:rPr>
              <w:t>code, payload_capacity_tons, typical_utilisation, fuel assumption, regulatory_note</w:t>
            </w:r>
          </w:p>
        </w:tc>
      </w:tr>
      <w:tr>
        <w:tc>
          <w:tcPr>
            <w:tcW w:type="dxa" w:w="2304"/>
            <w:vAlign w:val="top"/>
          </w:tcPr>
          <w:p>
            <w:r>
              <w:rPr>
                <w:sz w:val="17"/>
              </w:rPr>
            </w:r>
            <w:r>
              <w:rPr>
                <w:b w:val="0"/>
                <w:sz w:val="17"/>
              </w:rPr>
              <w:t>calculation_runs</w:t>
            </w:r>
          </w:p>
        </w:tc>
        <w:tc>
          <w:tcPr>
            <w:tcW w:type="dxa" w:w="3456"/>
            <w:vAlign w:val="top"/>
          </w:tcPr>
          <w:p>
            <w:r>
              <w:rPr>
                <w:sz w:val="17"/>
              </w:rPr>
            </w:r>
            <w:r>
              <w:rPr>
                <w:b w:val="0"/>
                <w:sz w:val="17"/>
              </w:rPr>
              <w:t>Immutable user input snapshot.</w:t>
            </w:r>
          </w:p>
        </w:tc>
        <w:tc>
          <w:tcPr>
            <w:tcW w:type="dxa" w:w="4896"/>
            <w:vAlign w:val="top"/>
          </w:tcPr>
          <w:p>
            <w:r>
              <w:rPr>
                <w:sz w:val="17"/>
              </w:rPr>
            </w:r>
            <w:r>
              <w:rPr>
                <w:b w:val="0"/>
                <w:sz w:val="17"/>
              </w:rPr>
              <w:t>all user inputs and selected reference IDs</w:t>
            </w:r>
          </w:p>
        </w:tc>
      </w:tr>
      <w:tr>
        <w:tc>
          <w:tcPr>
            <w:tcW w:type="dxa" w:w="2304"/>
            <w:vAlign w:val="top"/>
          </w:tcPr>
          <w:p>
            <w:r>
              <w:rPr>
                <w:sz w:val="17"/>
              </w:rPr>
            </w:r>
            <w:r>
              <w:rPr>
                <w:b w:val="0"/>
                <w:sz w:val="17"/>
              </w:rPr>
              <w:t>calculation_results</w:t>
            </w:r>
          </w:p>
        </w:tc>
        <w:tc>
          <w:tcPr>
            <w:tcW w:type="dxa" w:w="3456"/>
            <w:vAlign w:val="top"/>
          </w:tcPr>
          <w:p>
            <w:r>
              <w:rPr>
                <w:sz w:val="17"/>
              </w:rPr>
            </w:r>
            <w:r>
              <w:rPr>
                <w:b w:val="0"/>
                <w:sz w:val="17"/>
              </w:rPr>
              <w:t>Immutable result snapshot.</w:t>
            </w:r>
          </w:p>
        </w:tc>
        <w:tc>
          <w:tcPr>
            <w:tcW w:type="dxa" w:w="4896"/>
            <w:vAlign w:val="top"/>
          </w:tcPr>
          <w:p>
            <w:r>
              <w:rPr>
                <w:sz w:val="17"/>
              </w:rPr>
            </w:r>
            <w:r>
              <w:rPr>
                <w:b w:val="0"/>
                <w:sz w:val="17"/>
              </w:rPr>
              <w:t>all calculated break-even, pricing and tax outputs</w:t>
            </w:r>
          </w:p>
        </w:tc>
      </w:tr>
      <w:tr>
        <w:tc>
          <w:tcPr>
            <w:tcW w:type="dxa" w:w="2304"/>
            <w:vAlign w:val="top"/>
          </w:tcPr>
          <w:p>
            <w:r>
              <w:rPr>
                <w:sz w:val="17"/>
              </w:rPr>
            </w:r>
            <w:r>
              <w:rPr>
                <w:b w:val="0"/>
                <w:sz w:val="17"/>
              </w:rPr>
              <w:t>pricing_scenarios</w:t>
            </w:r>
          </w:p>
        </w:tc>
        <w:tc>
          <w:tcPr>
            <w:tcW w:type="dxa" w:w="3456"/>
            <w:vAlign w:val="top"/>
          </w:tcPr>
          <w:p>
            <w:r>
              <w:rPr>
                <w:sz w:val="17"/>
              </w:rPr>
            </w:r>
            <w:r>
              <w:rPr>
                <w:b w:val="0"/>
                <w:sz w:val="17"/>
              </w:rPr>
              <w:t>Generated markup scenarios for a run.</w:t>
            </w:r>
          </w:p>
        </w:tc>
        <w:tc>
          <w:tcPr>
            <w:tcW w:type="dxa" w:w="4896"/>
            <w:vAlign w:val="top"/>
          </w:tcPr>
          <w:p>
            <w:r>
              <w:rPr>
                <w:sz w:val="17"/>
              </w:rPr>
            </w:r>
            <w:r>
              <w:rPr>
                <w:b w:val="0"/>
                <w:sz w:val="17"/>
              </w:rPr>
              <w:t>calculation_run_id, markup, customer rate, EBIT, profit after tax</w:t>
            </w:r>
          </w:p>
        </w:tc>
      </w:tr>
      <w:tr>
        <w:tc>
          <w:tcPr>
            <w:tcW w:type="dxa" w:w="2304"/>
            <w:vAlign w:val="top"/>
          </w:tcPr>
          <w:p>
            <w:r>
              <w:rPr>
                <w:sz w:val="17"/>
              </w:rPr>
            </w:r>
            <w:r>
              <w:rPr>
                <w:b w:val="0"/>
                <w:sz w:val="17"/>
              </w:rPr>
              <w:t>audit_log</w:t>
            </w:r>
          </w:p>
        </w:tc>
        <w:tc>
          <w:tcPr>
            <w:tcW w:type="dxa" w:w="3456"/>
            <w:vAlign w:val="top"/>
          </w:tcPr>
          <w:p>
            <w:r>
              <w:rPr>
                <w:sz w:val="17"/>
              </w:rPr>
            </w:r>
            <w:r>
              <w:rPr>
                <w:b w:val="0"/>
                <w:sz w:val="17"/>
              </w:rPr>
              <w:t>Track meaningful user/system actions.</w:t>
            </w:r>
          </w:p>
        </w:tc>
        <w:tc>
          <w:tcPr>
            <w:tcW w:type="dxa" w:w="4896"/>
            <w:vAlign w:val="top"/>
          </w:tcPr>
          <w:p>
            <w:r>
              <w:rPr>
                <w:sz w:val="17"/>
              </w:rPr>
            </w:r>
            <w:r>
              <w:rPr>
                <w:b w:val="0"/>
                <w:sz w:val="17"/>
              </w:rPr>
              <w:t>actor, action, entity_type, entity_id, before, after, timestamp</w:t>
            </w:r>
          </w:p>
        </w:tc>
      </w:tr>
    </w:tbl>
    <w:p>
      <w:pPr>
        <w:pStyle w:val="Heading1"/>
      </w:pPr>
      <w:r>
        <w:t>14. Backend API Specification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0F766E"/>
          </w:tcPr>
          <w:p>
            <w:r>
              <w:rPr>
                <w:b/>
                <w:color w:val="FFFFFF"/>
                <w:sz w:val="17"/>
              </w:rPr>
            </w:r>
            <w:r>
              <w:rPr>
                <w:b/>
                <w:color w:val="FFFFFF"/>
                <w:sz w:val="17"/>
              </w:rPr>
              <w:t>Endpoint</w:t>
            </w:r>
          </w:p>
        </w:tc>
        <w:tc>
          <w:tcPr>
            <w:tcW w:type="dxa" w:w="1152"/>
            <w:vAlign w:val="top"/>
            <w:shd w:fill="0F766E"/>
          </w:tcPr>
          <w:p>
            <w:r>
              <w:rPr>
                <w:b/>
                <w:color w:val="FFFFFF"/>
                <w:sz w:val="17"/>
              </w:rPr>
            </w:r>
            <w:r>
              <w:rPr>
                <w:b/>
                <w:color w:val="FFFFFF"/>
                <w:sz w:val="17"/>
              </w:rPr>
              <w:t>Method</w:t>
            </w:r>
          </w:p>
        </w:tc>
        <w:tc>
          <w:tcPr>
            <w:tcW w:type="dxa" w:w="6048"/>
            <w:vAlign w:val="top"/>
            <w:shd w:fill="0F766E"/>
          </w:tcPr>
          <w:p>
            <w:r>
              <w:rPr>
                <w:b/>
                <w:color w:val="FFFFFF"/>
                <w:sz w:val="17"/>
              </w:rPr>
            </w:r>
            <w:r>
              <w:rPr>
                <w:b/>
                <w:color w:val="FFFFFF"/>
                <w:sz w:val="17"/>
              </w:rPr>
              <w:t>Purpose</w:t>
            </w:r>
          </w:p>
        </w:tc>
      </w:tr>
      <w:tr>
        <w:tc>
          <w:tcPr>
            <w:tcW w:type="dxa" w:w="3456"/>
            <w:vAlign w:val="top"/>
          </w:tcPr>
          <w:p>
            <w:r>
              <w:rPr>
                <w:sz w:val="17"/>
              </w:rPr>
            </w:r>
            <w:r>
              <w:rPr>
                <w:b w:val="0"/>
                <w:sz w:val="17"/>
              </w:rPr>
              <w:t>/api/health</w:t>
            </w:r>
          </w:p>
        </w:tc>
        <w:tc>
          <w:tcPr>
            <w:tcW w:type="dxa" w:w="1152"/>
            <w:vAlign w:val="top"/>
          </w:tcPr>
          <w:p>
            <w:r>
              <w:rPr>
                <w:sz w:val="17"/>
              </w:rPr>
            </w:r>
            <w:r>
              <w:rPr>
                <w:b w:val="0"/>
                <w:sz w:val="17"/>
              </w:rPr>
              <w:t>GET</w:t>
            </w:r>
          </w:p>
        </w:tc>
        <w:tc>
          <w:tcPr>
            <w:tcW w:type="dxa" w:w="6048"/>
            <w:vAlign w:val="top"/>
          </w:tcPr>
          <w:p>
            <w:r>
              <w:rPr>
                <w:sz w:val="17"/>
              </w:rPr>
            </w:r>
            <w:r>
              <w:rPr>
                <w:b w:val="0"/>
                <w:sz w:val="17"/>
              </w:rPr>
              <w:t>Service health check.</w:t>
            </w:r>
          </w:p>
        </w:tc>
      </w:tr>
      <w:tr>
        <w:tc>
          <w:tcPr>
            <w:tcW w:type="dxa" w:w="3456"/>
            <w:vAlign w:val="top"/>
          </w:tcPr>
          <w:p>
            <w:r>
              <w:rPr>
                <w:sz w:val="17"/>
              </w:rPr>
            </w:r>
            <w:r>
              <w:rPr>
                <w:b w:val="0"/>
                <w:sz w:val="17"/>
              </w:rPr>
              <w:t>/api/countries</w:t>
            </w:r>
          </w:p>
        </w:tc>
        <w:tc>
          <w:tcPr>
            <w:tcW w:type="dxa" w:w="1152"/>
            <w:vAlign w:val="top"/>
          </w:tcPr>
          <w:p>
            <w:r>
              <w:rPr>
                <w:sz w:val="17"/>
              </w:rPr>
            </w:r>
            <w:r>
              <w:rPr>
                <w:b w:val="0"/>
                <w:sz w:val="17"/>
              </w:rPr>
              <w:t>GET</w:t>
            </w:r>
          </w:p>
        </w:tc>
        <w:tc>
          <w:tcPr>
            <w:tcW w:type="dxa" w:w="6048"/>
            <w:vAlign w:val="top"/>
          </w:tcPr>
          <w:p>
            <w:r>
              <w:rPr>
                <w:sz w:val="17"/>
              </w:rPr>
            </w:r>
            <w:r>
              <w:rPr>
                <w:b w:val="0"/>
                <w:sz w:val="17"/>
              </w:rPr>
              <w:t>List countries/jurisdictions.</w:t>
            </w:r>
          </w:p>
        </w:tc>
      </w:tr>
      <w:tr>
        <w:tc>
          <w:tcPr>
            <w:tcW w:type="dxa" w:w="3456"/>
            <w:vAlign w:val="top"/>
          </w:tcPr>
          <w:p>
            <w:r>
              <w:rPr>
                <w:sz w:val="17"/>
              </w:rPr>
            </w:r>
            <w:r>
              <w:rPr>
                <w:b w:val="0"/>
                <w:sz w:val="17"/>
              </w:rPr>
              <w:t>/api/countries/:countryId/company-types</w:t>
            </w:r>
          </w:p>
        </w:tc>
        <w:tc>
          <w:tcPr>
            <w:tcW w:type="dxa" w:w="1152"/>
            <w:vAlign w:val="top"/>
          </w:tcPr>
          <w:p>
            <w:r>
              <w:rPr>
                <w:sz w:val="17"/>
              </w:rPr>
            </w:r>
            <w:r>
              <w:rPr>
                <w:b w:val="0"/>
                <w:sz w:val="17"/>
              </w:rPr>
              <w:t>GET</w:t>
            </w:r>
          </w:p>
        </w:tc>
        <w:tc>
          <w:tcPr>
            <w:tcW w:type="dxa" w:w="6048"/>
            <w:vAlign w:val="top"/>
          </w:tcPr>
          <w:p>
            <w:r>
              <w:rPr>
                <w:sz w:val="17"/>
              </w:rPr>
            </w:r>
            <w:r>
              <w:rPr>
                <w:b w:val="0"/>
                <w:sz w:val="17"/>
              </w:rPr>
              <w:t>List company types for country.</w:t>
            </w:r>
          </w:p>
        </w:tc>
      </w:tr>
      <w:tr>
        <w:tc>
          <w:tcPr>
            <w:tcW w:type="dxa" w:w="3456"/>
            <w:vAlign w:val="top"/>
          </w:tcPr>
          <w:p>
            <w:r>
              <w:rPr>
                <w:sz w:val="17"/>
              </w:rPr>
            </w:r>
            <w:r>
              <w:rPr>
                <w:b w:val="0"/>
                <w:sz w:val="17"/>
              </w:rPr>
              <w:t>/api/business-models</w:t>
            </w:r>
          </w:p>
        </w:tc>
        <w:tc>
          <w:tcPr>
            <w:tcW w:type="dxa" w:w="1152"/>
            <w:vAlign w:val="top"/>
          </w:tcPr>
          <w:p>
            <w:r>
              <w:rPr>
                <w:sz w:val="17"/>
              </w:rPr>
            </w:r>
            <w:r>
              <w:rPr>
                <w:b w:val="0"/>
                <w:sz w:val="17"/>
              </w:rPr>
              <w:t>GET</w:t>
            </w:r>
          </w:p>
        </w:tc>
        <w:tc>
          <w:tcPr>
            <w:tcW w:type="dxa" w:w="6048"/>
            <w:vAlign w:val="top"/>
          </w:tcPr>
          <w:p>
            <w:r>
              <w:rPr>
                <w:sz w:val="17"/>
              </w:rPr>
            </w:r>
            <w:r>
              <w:rPr>
                <w:b w:val="0"/>
                <w:sz w:val="17"/>
              </w:rPr>
              <w:t>List business models.</w:t>
            </w:r>
          </w:p>
        </w:tc>
      </w:tr>
      <w:tr>
        <w:tc>
          <w:tcPr>
            <w:tcW w:type="dxa" w:w="3456"/>
            <w:vAlign w:val="top"/>
          </w:tcPr>
          <w:p>
            <w:r>
              <w:rPr>
                <w:sz w:val="17"/>
              </w:rPr>
            </w:r>
            <w:r>
              <w:rPr>
                <w:b w:val="0"/>
                <w:sz w:val="17"/>
              </w:rPr>
              <w:t>/api/vehicle-classes</w:t>
            </w:r>
          </w:p>
        </w:tc>
        <w:tc>
          <w:tcPr>
            <w:tcW w:type="dxa" w:w="1152"/>
            <w:vAlign w:val="top"/>
          </w:tcPr>
          <w:p>
            <w:r>
              <w:rPr>
                <w:sz w:val="17"/>
              </w:rPr>
            </w:r>
            <w:r>
              <w:rPr>
                <w:b w:val="0"/>
                <w:sz w:val="17"/>
              </w:rPr>
              <w:t>GET</w:t>
            </w:r>
          </w:p>
        </w:tc>
        <w:tc>
          <w:tcPr>
            <w:tcW w:type="dxa" w:w="6048"/>
            <w:vAlign w:val="top"/>
          </w:tcPr>
          <w:p>
            <w:r>
              <w:rPr>
                <w:sz w:val="17"/>
              </w:rPr>
            </w:r>
            <w:r>
              <w:rPr>
                <w:b w:val="0"/>
                <w:sz w:val="17"/>
              </w:rPr>
              <w:t>List vehicle classes and defaults.</w:t>
            </w:r>
          </w:p>
        </w:tc>
      </w:tr>
      <w:tr>
        <w:tc>
          <w:tcPr>
            <w:tcW w:type="dxa" w:w="3456"/>
            <w:vAlign w:val="top"/>
          </w:tcPr>
          <w:p>
            <w:r>
              <w:rPr>
                <w:sz w:val="17"/>
              </w:rPr>
            </w:r>
            <w:r>
              <w:rPr>
                <w:b w:val="0"/>
                <w:sz w:val="17"/>
              </w:rPr>
              <w:t>/api/tax-profile</w:t>
            </w:r>
          </w:p>
        </w:tc>
        <w:tc>
          <w:tcPr>
            <w:tcW w:type="dxa" w:w="1152"/>
            <w:vAlign w:val="top"/>
          </w:tcPr>
          <w:p>
            <w:r>
              <w:rPr>
                <w:sz w:val="17"/>
              </w:rPr>
            </w:r>
            <w:r>
              <w:rPr>
                <w:b w:val="0"/>
                <w:sz w:val="17"/>
              </w:rPr>
              <w:t>GET</w:t>
            </w:r>
          </w:p>
        </w:tc>
        <w:tc>
          <w:tcPr>
            <w:tcW w:type="dxa" w:w="6048"/>
            <w:vAlign w:val="top"/>
          </w:tcPr>
          <w:p>
            <w:r>
              <w:rPr>
                <w:sz w:val="17"/>
              </w:rPr>
            </w:r>
            <w:r>
              <w:rPr>
                <w:b w:val="0"/>
                <w:sz w:val="17"/>
              </w:rPr>
              <w:t>Return tax profile for country and company type.</w:t>
            </w:r>
          </w:p>
        </w:tc>
      </w:tr>
      <w:tr>
        <w:tc>
          <w:tcPr>
            <w:tcW w:type="dxa" w:w="3456"/>
            <w:vAlign w:val="top"/>
          </w:tcPr>
          <w:p>
            <w:r>
              <w:rPr>
                <w:sz w:val="17"/>
              </w:rPr>
            </w:r>
            <w:r>
              <w:rPr>
                <w:b w:val="0"/>
                <w:sz w:val="17"/>
              </w:rPr>
              <w:t>/api/calculations/preview</w:t>
            </w:r>
          </w:p>
        </w:tc>
        <w:tc>
          <w:tcPr>
            <w:tcW w:type="dxa" w:w="1152"/>
            <w:vAlign w:val="top"/>
          </w:tcPr>
          <w:p>
            <w:r>
              <w:rPr>
                <w:sz w:val="17"/>
              </w:rPr>
            </w:r>
            <w:r>
              <w:rPr>
                <w:b w:val="0"/>
                <w:sz w:val="17"/>
              </w:rPr>
              <w:t>POST</w:t>
            </w:r>
          </w:p>
        </w:tc>
        <w:tc>
          <w:tcPr>
            <w:tcW w:type="dxa" w:w="6048"/>
            <w:vAlign w:val="top"/>
          </w:tcPr>
          <w:p>
            <w:r>
              <w:rPr>
                <w:sz w:val="17"/>
              </w:rPr>
            </w:r>
            <w:r>
              <w:rPr>
                <w:b w:val="0"/>
                <w:sz w:val="17"/>
              </w:rPr>
              <w:t>Calculate break-even without saving.</w:t>
            </w:r>
          </w:p>
        </w:tc>
      </w:tr>
      <w:tr>
        <w:tc>
          <w:tcPr>
            <w:tcW w:type="dxa" w:w="3456"/>
            <w:vAlign w:val="top"/>
          </w:tcPr>
          <w:p>
            <w:r>
              <w:rPr>
                <w:sz w:val="17"/>
              </w:rPr>
            </w:r>
            <w:r>
              <w:rPr>
                <w:b w:val="0"/>
                <w:sz w:val="17"/>
              </w:rPr>
              <w:t>/api/calculations</w:t>
            </w:r>
          </w:p>
        </w:tc>
        <w:tc>
          <w:tcPr>
            <w:tcW w:type="dxa" w:w="1152"/>
            <w:vAlign w:val="top"/>
          </w:tcPr>
          <w:p>
            <w:r>
              <w:rPr>
                <w:sz w:val="17"/>
              </w:rPr>
            </w:r>
            <w:r>
              <w:rPr>
                <w:b w:val="0"/>
                <w:sz w:val="17"/>
              </w:rPr>
              <w:t>POST</w:t>
            </w:r>
          </w:p>
        </w:tc>
        <w:tc>
          <w:tcPr>
            <w:tcW w:type="dxa" w:w="6048"/>
            <w:vAlign w:val="top"/>
          </w:tcPr>
          <w:p>
            <w:r>
              <w:rPr>
                <w:sz w:val="17"/>
              </w:rPr>
            </w:r>
            <w:r>
              <w:rPr>
                <w:b w:val="0"/>
                <w:sz w:val="17"/>
              </w:rPr>
              <w:t>Calculate and save a run.</w:t>
            </w:r>
          </w:p>
        </w:tc>
      </w:tr>
      <w:tr>
        <w:tc>
          <w:tcPr>
            <w:tcW w:type="dxa" w:w="3456"/>
            <w:vAlign w:val="top"/>
          </w:tcPr>
          <w:p>
            <w:r>
              <w:rPr>
                <w:sz w:val="17"/>
              </w:rPr>
            </w:r>
            <w:r>
              <w:rPr>
                <w:b w:val="0"/>
                <w:sz w:val="17"/>
              </w:rPr>
              <w:t>/api/calculations</w:t>
            </w:r>
          </w:p>
        </w:tc>
        <w:tc>
          <w:tcPr>
            <w:tcW w:type="dxa" w:w="1152"/>
            <w:vAlign w:val="top"/>
          </w:tcPr>
          <w:p>
            <w:r>
              <w:rPr>
                <w:sz w:val="17"/>
              </w:rPr>
            </w:r>
            <w:r>
              <w:rPr>
                <w:b w:val="0"/>
                <w:sz w:val="17"/>
              </w:rPr>
              <w:t>GET</w:t>
            </w:r>
          </w:p>
        </w:tc>
        <w:tc>
          <w:tcPr>
            <w:tcW w:type="dxa" w:w="6048"/>
            <w:vAlign w:val="top"/>
          </w:tcPr>
          <w:p>
            <w:r>
              <w:rPr>
                <w:sz w:val="17"/>
              </w:rPr>
            </w:r>
            <w:r>
              <w:rPr>
                <w:b w:val="0"/>
                <w:sz w:val="17"/>
              </w:rPr>
              <w:t>List saved calculation runs.</w:t>
            </w:r>
          </w:p>
        </w:tc>
      </w:tr>
      <w:tr>
        <w:tc>
          <w:tcPr>
            <w:tcW w:type="dxa" w:w="3456"/>
            <w:vAlign w:val="top"/>
          </w:tcPr>
          <w:p>
            <w:r>
              <w:rPr>
                <w:sz w:val="17"/>
              </w:rPr>
            </w:r>
            <w:r>
              <w:rPr>
                <w:b w:val="0"/>
                <w:sz w:val="17"/>
              </w:rPr>
              <w:t>/api/calculations/:id</w:t>
            </w:r>
          </w:p>
        </w:tc>
        <w:tc>
          <w:tcPr>
            <w:tcW w:type="dxa" w:w="1152"/>
            <w:vAlign w:val="top"/>
          </w:tcPr>
          <w:p>
            <w:r>
              <w:rPr>
                <w:sz w:val="17"/>
              </w:rPr>
            </w:r>
            <w:r>
              <w:rPr>
                <w:b w:val="0"/>
                <w:sz w:val="17"/>
              </w:rPr>
              <w:t>GET</w:t>
            </w:r>
          </w:p>
        </w:tc>
        <w:tc>
          <w:tcPr>
            <w:tcW w:type="dxa" w:w="6048"/>
            <w:vAlign w:val="top"/>
          </w:tcPr>
          <w:p>
            <w:r>
              <w:rPr>
                <w:sz w:val="17"/>
              </w:rPr>
            </w:r>
            <w:r>
              <w:rPr>
                <w:b w:val="0"/>
                <w:sz w:val="17"/>
              </w:rPr>
              <w:t>Open one saved run with inputs, results and scenarios.</w:t>
            </w:r>
          </w:p>
        </w:tc>
      </w:tr>
      <w:tr>
        <w:tc>
          <w:tcPr>
            <w:tcW w:type="dxa" w:w="3456"/>
            <w:vAlign w:val="top"/>
          </w:tcPr>
          <w:p>
            <w:r>
              <w:rPr>
                <w:sz w:val="17"/>
              </w:rPr>
            </w:r>
            <w:r>
              <w:rPr>
                <w:b w:val="0"/>
                <w:sz w:val="17"/>
              </w:rPr>
              <w:t>/api/calculations/:id</w:t>
            </w:r>
          </w:p>
        </w:tc>
        <w:tc>
          <w:tcPr>
            <w:tcW w:type="dxa" w:w="1152"/>
            <w:vAlign w:val="top"/>
          </w:tcPr>
          <w:p>
            <w:r>
              <w:rPr>
                <w:sz w:val="17"/>
              </w:rPr>
            </w:r>
            <w:r>
              <w:rPr>
                <w:b w:val="0"/>
                <w:sz w:val="17"/>
              </w:rPr>
              <w:t>DELETE</w:t>
            </w:r>
          </w:p>
        </w:tc>
        <w:tc>
          <w:tcPr>
            <w:tcW w:type="dxa" w:w="6048"/>
            <w:vAlign w:val="top"/>
          </w:tcPr>
          <w:p>
            <w:r>
              <w:rPr>
                <w:sz w:val="17"/>
              </w:rPr>
            </w:r>
            <w:r>
              <w:rPr>
                <w:b w:val="0"/>
                <w:sz w:val="17"/>
              </w:rPr>
              <w:t>Delete one saved run, with audit event.</w:t>
            </w:r>
          </w:p>
        </w:tc>
      </w:tr>
      <w:tr>
        <w:tc>
          <w:tcPr>
            <w:tcW w:type="dxa" w:w="3456"/>
            <w:vAlign w:val="top"/>
          </w:tcPr>
          <w:p>
            <w:r>
              <w:rPr>
                <w:sz w:val="17"/>
              </w:rPr>
            </w:r>
            <w:r>
              <w:rPr>
                <w:b w:val="0"/>
                <w:sz w:val="17"/>
              </w:rPr>
              <w:t>/api/pricing-scenarios/preview</w:t>
            </w:r>
          </w:p>
        </w:tc>
        <w:tc>
          <w:tcPr>
            <w:tcW w:type="dxa" w:w="1152"/>
            <w:vAlign w:val="top"/>
          </w:tcPr>
          <w:p>
            <w:r>
              <w:rPr>
                <w:sz w:val="17"/>
              </w:rPr>
            </w:r>
            <w:r>
              <w:rPr>
                <w:b w:val="0"/>
                <w:sz w:val="17"/>
              </w:rPr>
              <w:t>POST</w:t>
            </w:r>
          </w:p>
        </w:tc>
        <w:tc>
          <w:tcPr>
            <w:tcW w:type="dxa" w:w="6048"/>
            <w:vAlign w:val="top"/>
          </w:tcPr>
          <w:p>
            <w:r>
              <w:rPr>
                <w:sz w:val="17"/>
              </w:rPr>
            </w:r>
            <w:r>
              <w:rPr>
                <w:b w:val="0"/>
                <w:sz w:val="17"/>
              </w:rPr>
              <w:t>Generate markup scenarios without saving.</w:t>
            </w:r>
          </w:p>
        </w:tc>
      </w:tr>
      <w:tr>
        <w:tc>
          <w:tcPr>
            <w:tcW w:type="dxa" w:w="3456"/>
            <w:vAlign w:val="top"/>
          </w:tcPr>
          <w:p>
            <w:r>
              <w:rPr>
                <w:sz w:val="17"/>
              </w:rPr>
            </w:r>
            <w:r>
              <w:rPr>
                <w:b w:val="0"/>
                <w:sz w:val="17"/>
              </w:rPr>
              <w:t>/api/sensitivity/preview</w:t>
            </w:r>
          </w:p>
        </w:tc>
        <w:tc>
          <w:tcPr>
            <w:tcW w:type="dxa" w:w="1152"/>
            <w:vAlign w:val="top"/>
          </w:tcPr>
          <w:p>
            <w:r>
              <w:rPr>
                <w:sz w:val="17"/>
              </w:rPr>
            </w:r>
            <w:r>
              <w:rPr>
                <w:b w:val="0"/>
                <w:sz w:val="17"/>
              </w:rPr>
              <w:t>POST</w:t>
            </w:r>
          </w:p>
        </w:tc>
        <w:tc>
          <w:tcPr>
            <w:tcW w:type="dxa" w:w="6048"/>
            <w:vAlign w:val="top"/>
          </w:tcPr>
          <w:p>
            <w:r>
              <w:rPr>
                <w:sz w:val="17"/>
              </w:rPr>
            </w:r>
            <w:r>
              <w:rPr>
                <w:b w:val="0"/>
                <w:sz w:val="17"/>
              </w:rPr>
              <w:t>Generate sensitivity outputs without saving.</w:t>
            </w:r>
          </w:p>
        </w:tc>
      </w:tr>
      <w:tr>
        <w:tc>
          <w:tcPr>
            <w:tcW w:type="dxa" w:w="3456"/>
            <w:vAlign w:val="top"/>
          </w:tcPr>
          <w:p>
            <w:r>
              <w:rPr>
                <w:sz w:val="17"/>
              </w:rPr>
            </w:r>
            <w:r>
              <w:rPr>
                <w:b w:val="0"/>
                <w:sz w:val="17"/>
              </w:rPr>
              <w:t>/api/exports/:calculationRunId/pdf</w:t>
            </w:r>
          </w:p>
        </w:tc>
        <w:tc>
          <w:tcPr>
            <w:tcW w:type="dxa" w:w="1152"/>
            <w:vAlign w:val="top"/>
          </w:tcPr>
          <w:p>
            <w:r>
              <w:rPr>
                <w:sz w:val="17"/>
              </w:rPr>
            </w:r>
            <w:r>
              <w:rPr>
                <w:b w:val="0"/>
                <w:sz w:val="17"/>
              </w:rPr>
              <w:t>GET</w:t>
            </w:r>
          </w:p>
        </w:tc>
        <w:tc>
          <w:tcPr>
            <w:tcW w:type="dxa" w:w="6048"/>
            <w:vAlign w:val="top"/>
          </w:tcPr>
          <w:p>
            <w:r>
              <w:rPr>
                <w:sz w:val="17"/>
              </w:rPr>
            </w:r>
            <w:r>
              <w:rPr>
                <w:b w:val="0"/>
                <w:sz w:val="17"/>
              </w:rPr>
              <w:t>Future: export pricing report PDF.</w:t>
            </w:r>
          </w:p>
        </w:tc>
      </w:tr>
      <w:tr>
        <w:tc>
          <w:tcPr>
            <w:tcW w:type="dxa" w:w="3456"/>
            <w:vAlign w:val="top"/>
          </w:tcPr>
          <w:p>
            <w:r>
              <w:rPr>
                <w:sz w:val="17"/>
              </w:rPr>
            </w:r>
            <w:r>
              <w:rPr>
                <w:b w:val="0"/>
                <w:sz w:val="17"/>
              </w:rPr>
              <w:t>/api/exports/:calculationRunId/xlsx</w:t>
            </w:r>
          </w:p>
        </w:tc>
        <w:tc>
          <w:tcPr>
            <w:tcW w:type="dxa" w:w="1152"/>
            <w:vAlign w:val="top"/>
          </w:tcPr>
          <w:p>
            <w:r>
              <w:rPr>
                <w:sz w:val="17"/>
              </w:rPr>
            </w:r>
            <w:r>
              <w:rPr>
                <w:b w:val="0"/>
                <w:sz w:val="17"/>
              </w:rPr>
              <w:t>GET</w:t>
            </w:r>
          </w:p>
        </w:tc>
        <w:tc>
          <w:tcPr>
            <w:tcW w:type="dxa" w:w="6048"/>
            <w:vAlign w:val="top"/>
          </w:tcPr>
          <w:p>
            <w:r>
              <w:rPr>
                <w:sz w:val="17"/>
              </w:rPr>
            </w:r>
            <w:r>
              <w:rPr>
                <w:b w:val="0"/>
                <w:sz w:val="17"/>
              </w:rPr>
              <w:t>Future: export workbook-style scenario comparison.</w:t>
            </w:r>
          </w:p>
        </w:tc>
      </w:tr>
    </w:tbl>
    <w:p>
      <w:pPr>
        <w:pStyle w:val="Heading2"/>
      </w:pPr>
      <w:r>
        <w:t>14.1 API Error Format</w:t>
      </w:r>
    </w:p>
    <w:p>
      <w:pPr>
        <w:pStyle w:val="CodeBlock"/>
      </w:pPr>
      <w:r>
        <w:rPr>
          <w:rFonts w:ascii="Courier New" w:hAnsi="Courier New" w:eastAsia="Courier New"/>
          <w:sz w:val="16"/>
        </w:rPr>
        <w:t>{</w:t>
      </w:r>
    </w:p>
    <w:p>
      <w:pPr>
        <w:pStyle w:val="CodeBlock"/>
      </w:pPr>
      <w:r>
        <w:rPr>
          <w:rFonts w:ascii="Courier New" w:hAnsi="Courier New" w:eastAsia="Courier New"/>
          <w:sz w:val="16"/>
        </w:rPr>
        <w:t xml:space="preserve">  "error": {</w:t>
      </w:r>
    </w:p>
    <w:p>
      <w:pPr>
        <w:pStyle w:val="CodeBlock"/>
      </w:pPr>
      <w:r>
        <w:rPr>
          <w:rFonts w:ascii="Courier New" w:hAnsi="Courier New" w:eastAsia="Courier New"/>
          <w:sz w:val="16"/>
        </w:rPr>
        <w:t xml:space="preserve">    "code": "VALIDATION_ERROR",</w:t>
      </w:r>
    </w:p>
    <w:p>
      <w:pPr>
        <w:pStyle w:val="CodeBlock"/>
      </w:pPr>
      <w:r>
        <w:rPr>
          <w:rFonts w:ascii="Courier New" w:hAnsi="Courier New" w:eastAsia="Courier New"/>
          <w:sz w:val="16"/>
        </w:rPr>
        <w:t xml:space="preserve">    "message": "loadFactor must be between 0 and 1",</w:t>
      </w:r>
    </w:p>
    <w:p>
      <w:pPr>
        <w:pStyle w:val="CodeBlock"/>
      </w:pPr>
      <w:r>
        <w:rPr>
          <w:rFonts w:ascii="Courier New" w:hAnsi="Courier New" w:eastAsia="Courier New"/>
          <w:sz w:val="16"/>
        </w:rPr>
        <w:t xml:space="preserve">    "field": "loadFactor"</w:t>
      </w:r>
    </w:p>
    <w:p>
      <w:pPr>
        <w:pStyle w:val="CodeBlock"/>
      </w:pPr>
      <w:r>
        <w:rPr>
          <w:rFonts w:ascii="Courier New" w:hAnsi="Courier New" w:eastAsia="Courier New"/>
          <w:sz w:val="16"/>
        </w:rPr>
        <w:t xml:space="preserve">  }</w:t>
      </w:r>
    </w:p>
    <w:p>
      <w:pPr>
        <w:pStyle w:val="CodeBlock"/>
      </w:pPr>
      <w:r>
        <w:rPr>
          <w:rFonts w:ascii="Courier New" w:hAnsi="Courier New" w:eastAsia="Courier New"/>
          <w:sz w:val="16"/>
        </w:rPr>
        <w:t>}</w:t>
      </w:r>
    </w:p>
    <w:p>
      <w:pPr>
        <w:pStyle w:val="Heading1"/>
      </w:pPr>
      <w:r>
        <w:t>15. Frontend Page Specification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448"/>
            <w:vAlign w:val="top"/>
            <w:shd w:fill="0F766E"/>
          </w:tcPr>
          <w:p>
            <w:r>
              <w:rPr>
                <w:b/>
                <w:color w:val="FFFFFF"/>
                <w:sz w:val="17"/>
              </w:rPr>
            </w:r>
            <w:r>
              <w:rPr>
                <w:b/>
                <w:color w:val="FFFFFF"/>
                <w:sz w:val="17"/>
              </w:rPr>
              <w:t>Route</w:t>
            </w:r>
          </w:p>
        </w:tc>
        <w:tc>
          <w:tcPr>
            <w:tcW w:type="dxa" w:w="2592"/>
            <w:vAlign w:val="top"/>
            <w:shd w:fill="0F766E"/>
          </w:tcPr>
          <w:p>
            <w:r>
              <w:rPr>
                <w:b/>
                <w:color w:val="FFFFFF"/>
                <w:sz w:val="17"/>
              </w:rPr>
            </w:r>
            <w:r>
              <w:rPr>
                <w:b/>
                <w:color w:val="FFFFFF"/>
                <w:sz w:val="17"/>
              </w:rPr>
              <w:t>Page</w:t>
            </w:r>
          </w:p>
        </w:tc>
        <w:tc>
          <w:tcPr>
            <w:tcW w:type="dxa" w:w="2016"/>
            <w:vAlign w:val="top"/>
            <w:shd w:fill="0F766E"/>
          </w:tcPr>
          <w:p>
            <w:r>
              <w:rPr>
                <w:b/>
                <w:color w:val="FFFFFF"/>
                <w:sz w:val="17"/>
              </w:rPr>
            </w:r>
            <w:r>
              <w:rPr>
                <w:b/>
                <w:color w:val="FFFFFF"/>
                <w:sz w:val="17"/>
              </w:rPr>
              <w:t>Editable?</w:t>
            </w:r>
          </w:p>
        </w:tc>
        <w:tc>
          <w:tcPr>
            <w:tcW w:type="dxa" w:w="3600"/>
            <w:vAlign w:val="top"/>
            <w:shd w:fill="0F766E"/>
          </w:tcPr>
          <w:p>
            <w:r>
              <w:rPr>
                <w:b/>
                <w:color w:val="FFFFFF"/>
                <w:sz w:val="17"/>
              </w:rPr>
            </w:r>
            <w:r>
              <w:rPr>
                <w:b/>
                <w:color w:val="FFFFFF"/>
                <w:sz w:val="17"/>
              </w:rPr>
              <w:t>Main responsibility</w:t>
            </w:r>
          </w:p>
        </w:tc>
      </w:tr>
      <w:tr>
        <w:tc>
          <w:tcPr>
            <w:tcW w:type="dxa" w:w="2448"/>
            <w:vAlign w:val="top"/>
          </w:tcPr>
          <w:p>
            <w:r>
              <w:rPr>
                <w:sz w:val="17"/>
              </w:rPr>
            </w:r>
            <w:r>
              <w:rPr>
                <w:b w:val="0"/>
                <w:sz w:val="17"/>
              </w:rPr>
              <w:t>/</w:t>
            </w:r>
          </w:p>
        </w:tc>
        <w:tc>
          <w:tcPr>
            <w:tcW w:type="dxa" w:w="2592"/>
            <w:vAlign w:val="top"/>
          </w:tcPr>
          <w:p>
            <w:r>
              <w:rPr>
                <w:sz w:val="17"/>
              </w:rPr>
            </w:r>
            <w:r>
              <w:rPr>
                <w:b w:val="0"/>
                <w:sz w:val="17"/>
              </w:rPr>
              <w:t>Dashboard / Start Here</w:t>
            </w:r>
          </w:p>
        </w:tc>
        <w:tc>
          <w:tcPr>
            <w:tcW w:type="dxa" w:w="2016"/>
            <w:vAlign w:val="top"/>
          </w:tcPr>
          <w:p>
            <w:r>
              <w:rPr>
                <w:sz w:val="17"/>
              </w:rPr>
            </w:r>
            <w:r>
              <w:rPr>
                <w:b w:val="0"/>
                <w:sz w:val="17"/>
              </w:rPr>
              <w:t>No, except quick actions</w:t>
            </w:r>
          </w:p>
        </w:tc>
        <w:tc>
          <w:tcPr>
            <w:tcW w:type="dxa" w:w="3600"/>
            <w:vAlign w:val="top"/>
          </w:tcPr>
          <w:p>
            <w:r>
              <w:rPr>
                <w:sz w:val="17"/>
              </w:rPr>
            </w:r>
            <w:r>
              <w:rPr>
                <w:b w:val="0"/>
                <w:sz w:val="17"/>
              </w:rPr>
              <w:t>Workflow status and current result summary.</w:t>
            </w:r>
          </w:p>
        </w:tc>
      </w:tr>
      <w:tr>
        <w:tc>
          <w:tcPr>
            <w:tcW w:type="dxa" w:w="2448"/>
            <w:vAlign w:val="top"/>
          </w:tcPr>
          <w:p>
            <w:r>
              <w:rPr>
                <w:sz w:val="17"/>
              </w:rPr>
            </w:r>
            <w:r>
              <w:rPr>
                <w:b w:val="0"/>
                <w:sz w:val="17"/>
              </w:rPr>
              <w:t>/company-tax-profile</w:t>
            </w:r>
          </w:p>
        </w:tc>
        <w:tc>
          <w:tcPr>
            <w:tcW w:type="dxa" w:w="2592"/>
            <w:vAlign w:val="top"/>
          </w:tcPr>
          <w:p>
            <w:r>
              <w:rPr>
                <w:sz w:val="17"/>
              </w:rPr>
            </w:r>
            <w:r>
              <w:rPr>
                <w:b w:val="0"/>
                <w:sz w:val="17"/>
              </w:rPr>
              <w:t>Company &amp; Tax Profile</w:t>
            </w:r>
          </w:p>
        </w:tc>
        <w:tc>
          <w:tcPr>
            <w:tcW w:type="dxa" w:w="2016"/>
            <w:vAlign w:val="top"/>
          </w:tcPr>
          <w:p>
            <w:r>
              <w:rPr>
                <w:sz w:val="17"/>
              </w:rPr>
            </w:r>
            <w:r>
              <w:rPr>
                <w:b w:val="0"/>
                <w:sz w:val="17"/>
              </w:rPr>
              <w:t>Yes</w:t>
            </w:r>
          </w:p>
        </w:tc>
        <w:tc>
          <w:tcPr>
            <w:tcW w:type="dxa" w:w="3600"/>
            <w:vAlign w:val="top"/>
          </w:tcPr>
          <w:p>
            <w:r>
              <w:rPr>
                <w:sz w:val="17"/>
              </w:rPr>
            </w:r>
            <w:r>
              <w:rPr>
                <w:b w:val="0"/>
                <w:sz w:val="17"/>
              </w:rPr>
              <w:t>Country, company type, business model, trucks; tax fields read-only.</w:t>
            </w:r>
          </w:p>
        </w:tc>
      </w:tr>
      <w:tr>
        <w:tc>
          <w:tcPr>
            <w:tcW w:type="dxa" w:w="2448"/>
            <w:vAlign w:val="top"/>
          </w:tcPr>
          <w:p>
            <w:r>
              <w:rPr>
                <w:sz w:val="17"/>
              </w:rPr>
            </w:r>
            <w:r>
              <w:rPr>
                <w:b w:val="0"/>
                <w:sz w:val="17"/>
              </w:rPr>
              <w:t>/inputs</w:t>
            </w:r>
          </w:p>
        </w:tc>
        <w:tc>
          <w:tcPr>
            <w:tcW w:type="dxa" w:w="2592"/>
            <w:vAlign w:val="top"/>
          </w:tcPr>
          <w:p>
            <w:r>
              <w:rPr>
                <w:sz w:val="17"/>
              </w:rPr>
            </w:r>
            <w:r>
              <w:rPr>
                <w:b w:val="0"/>
                <w:sz w:val="17"/>
              </w:rPr>
              <w:t>Transport Inputs</w:t>
            </w:r>
          </w:p>
        </w:tc>
        <w:tc>
          <w:tcPr>
            <w:tcW w:type="dxa" w:w="2016"/>
            <w:vAlign w:val="top"/>
          </w:tcPr>
          <w:p>
            <w:r>
              <w:rPr>
                <w:sz w:val="17"/>
              </w:rPr>
            </w:r>
            <w:r>
              <w:rPr>
                <w:b w:val="0"/>
                <w:sz w:val="17"/>
              </w:rPr>
              <w:t>Yes</w:t>
            </w:r>
          </w:p>
        </w:tc>
        <w:tc>
          <w:tcPr>
            <w:tcW w:type="dxa" w:w="3600"/>
            <w:vAlign w:val="top"/>
          </w:tcPr>
          <w:p>
            <w:r>
              <w:rPr>
                <w:sz w:val="17"/>
              </w:rPr>
            </w:r>
            <w:r>
              <w:rPr>
                <w:b w:val="0"/>
                <w:sz w:val="17"/>
              </w:rPr>
              <w:t>Operational input form and computed previews.</w:t>
            </w:r>
          </w:p>
        </w:tc>
      </w:tr>
      <w:tr>
        <w:tc>
          <w:tcPr>
            <w:tcW w:type="dxa" w:w="2448"/>
            <w:vAlign w:val="top"/>
          </w:tcPr>
          <w:p>
            <w:r>
              <w:rPr>
                <w:sz w:val="17"/>
              </w:rPr>
            </w:r>
            <w:r>
              <w:rPr>
                <w:b w:val="0"/>
                <w:sz w:val="17"/>
              </w:rPr>
              <w:t>/engine</w:t>
            </w:r>
          </w:p>
        </w:tc>
        <w:tc>
          <w:tcPr>
            <w:tcW w:type="dxa" w:w="2592"/>
            <w:vAlign w:val="top"/>
          </w:tcPr>
          <w:p>
            <w:r>
              <w:rPr>
                <w:sz w:val="17"/>
              </w:rPr>
            </w:r>
            <w:r>
              <w:rPr>
                <w:b w:val="0"/>
                <w:sz w:val="17"/>
              </w:rPr>
              <w:t>Break-even Results</w:t>
            </w:r>
          </w:p>
        </w:tc>
        <w:tc>
          <w:tcPr>
            <w:tcW w:type="dxa" w:w="2016"/>
            <w:vAlign w:val="top"/>
          </w:tcPr>
          <w:p>
            <w:r>
              <w:rPr>
                <w:sz w:val="17"/>
              </w:rPr>
            </w:r>
            <w:r>
              <w:rPr>
                <w:b w:val="0"/>
                <w:sz w:val="17"/>
              </w:rPr>
              <w:t>No</w:t>
            </w:r>
          </w:p>
        </w:tc>
        <w:tc>
          <w:tcPr>
            <w:tcW w:type="dxa" w:w="3600"/>
            <w:vAlign w:val="top"/>
          </w:tcPr>
          <w:p>
            <w:r>
              <w:rPr>
                <w:sz w:val="17"/>
              </w:rPr>
            </w:r>
            <w:r>
              <w:rPr>
                <w:b w:val="0"/>
                <w:sz w:val="17"/>
              </w:rPr>
              <w:t>Read-only cost and break-even output.</w:t>
            </w:r>
          </w:p>
        </w:tc>
      </w:tr>
      <w:tr>
        <w:tc>
          <w:tcPr>
            <w:tcW w:type="dxa" w:w="2448"/>
            <w:vAlign w:val="top"/>
          </w:tcPr>
          <w:p>
            <w:r>
              <w:rPr>
                <w:sz w:val="17"/>
              </w:rPr>
            </w:r>
            <w:r>
              <w:rPr>
                <w:b w:val="0"/>
                <w:sz w:val="17"/>
              </w:rPr>
              <w:t>/pricing</w:t>
            </w:r>
          </w:p>
        </w:tc>
        <w:tc>
          <w:tcPr>
            <w:tcW w:type="dxa" w:w="2592"/>
            <w:vAlign w:val="top"/>
          </w:tcPr>
          <w:p>
            <w:r>
              <w:rPr>
                <w:sz w:val="17"/>
              </w:rPr>
            </w:r>
            <w:r>
              <w:rPr>
                <w:b w:val="0"/>
                <w:sz w:val="17"/>
              </w:rPr>
              <w:t>Pricing Scenarios</w:t>
            </w:r>
          </w:p>
        </w:tc>
        <w:tc>
          <w:tcPr>
            <w:tcW w:type="dxa" w:w="2016"/>
            <w:vAlign w:val="top"/>
          </w:tcPr>
          <w:p>
            <w:r>
              <w:rPr>
                <w:sz w:val="17"/>
              </w:rPr>
            </w:r>
            <w:r>
              <w:rPr>
                <w:b w:val="0"/>
                <w:sz w:val="17"/>
              </w:rPr>
              <w:t>Markup only</w:t>
            </w:r>
          </w:p>
        </w:tc>
        <w:tc>
          <w:tcPr>
            <w:tcW w:type="dxa" w:w="3600"/>
            <w:vAlign w:val="top"/>
          </w:tcPr>
          <w:p>
            <w:r>
              <w:rPr>
                <w:sz w:val="17"/>
              </w:rPr>
            </w:r>
            <w:r>
              <w:rPr>
                <w:b w:val="0"/>
                <w:sz w:val="17"/>
              </w:rPr>
              <w:t>Customer-rate scenarios and after-tax profitability.</w:t>
            </w:r>
          </w:p>
        </w:tc>
      </w:tr>
      <w:tr>
        <w:tc>
          <w:tcPr>
            <w:tcW w:type="dxa" w:w="2448"/>
            <w:vAlign w:val="top"/>
          </w:tcPr>
          <w:p>
            <w:r>
              <w:rPr>
                <w:sz w:val="17"/>
              </w:rPr>
            </w:r>
            <w:r>
              <w:rPr>
                <w:b w:val="0"/>
                <w:sz w:val="17"/>
              </w:rPr>
              <w:t>/sensitivity</w:t>
            </w:r>
          </w:p>
        </w:tc>
        <w:tc>
          <w:tcPr>
            <w:tcW w:type="dxa" w:w="2592"/>
            <w:vAlign w:val="top"/>
          </w:tcPr>
          <w:p>
            <w:r>
              <w:rPr>
                <w:sz w:val="17"/>
              </w:rPr>
            </w:r>
            <w:r>
              <w:rPr>
                <w:b w:val="0"/>
                <w:sz w:val="17"/>
              </w:rPr>
              <w:t>Sensitivity</w:t>
            </w:r>
          </w:p>
        </w:tc>
        <w:tc>
          <w:tcPr>
            <w:tcW w:type="dxa" w:w="2016"/>
            <w:vAlign w:val="top"/>
          </w:tcPr>
          <w:p>
            <w:r>
              <w:rPr>
                <w:sz w:val="17"/>
              </w:rPr>
            </w:r>
            <w:r>
              <w:rPr>
                <w:b w:val="0"/>
                <w:sz w:val="17"/>
              </w:rPr>
              <w:t>Scenario controls only</w:t>
            </w:r>
          </w:p>
        </w:tc>
        <w:tc>
          <w:tcPr>
            <w:tcW w:type="dxa" w:w="3600"/>
            <w:vAlign w:val="top"/>
          </w:tcPr>
          <w:p>
            <w:r>
              <w:rPr>
                <w:sz w:val="17"/>
              </w:rPr>
            </w:r>
            <w:r>
              <w:rPr>
                <w:b w:val="0"/>
                <w:sz w:val="17"/>
              </w:rPr>
              <w:t>Charts and matrix outputs.</w:t>
            </w:r>
          </w:p>
        </w:tc>
      </w:tr>
      <w:tr>
        <w:tc>
          <w:tcPr>
            <w:tcW w:type="dxa" w:w="2448"/>
            <w:vAlign w:val="top"/>
          </w:tcPr>
          <w:p>
            <w:r>
              <w:rPr>
                <w:sz w:val="17"/>
              </w:rPr>
            </w:r>
            <w:r>
              <w:rPr>
                <w:b w:val="0"/>
                <w:sz w:val="17"/>
              </w:rPr>
              <w:t>/vehicle-classes</w:t>
            </w:r>
          </w:p>
        </w:tc>
        <w:tc>
          <w:tcPr>
            <w:tcW w:type="dxa" w:w="2592"/>
            <w:vAlign w:val="top"/>
          </w:tcPr>
          <w:p>
            <w:r>
              <w:rPr>
                <w:sz w:val="17"/>
              </w:rPr>
            </w:r>
            <w:r>
              <w:rPr>
                <w:b w:val="0"/>
                <w:sz w:val="17"/>
              </w:rPr>
              <w:t>Vehicle Classes</w:t>
            </w:r>
          </w:p>
        </w:tc>
        <w:tc>
          <w:tcPr>
            <w:tcW w:type="dxa" w:w="2016"/>
            <w:vAlign w:val="top"/>
          </w:tcPr>
          <w:p>
            <w:r>
              <w:rPr>
                <w:sz w:val="17"/>
              </w:rPr>
            </w:r>
            <w:r>
              <w:rPr>
                <w:b w:val="0"/>
                <w:sz w:val="17"/>
              </w:rPr>
              <w:t>Read-only in v1</w:t>
            </w:r>
          </w:p>
        </w:tc>
        <w:tc>
          <w:tcPr>
            <w:tcW w:type="dxa" w:w="3600"/>
            <w:vAlign w:val="top"/>
          </w:tcPr>
          <w:p>
            <w:r>
              <w:rPr>
                <w:sz w:val="17"/>
              </w:rPr>
            </w:r>
            <w:r>
              <w:rPr>
                <w:b w:val="0"/>
                <w:sz w:val="17"/>
              </w:rPr>
              <w:t>Reference table.</w:t>
            </w:r>
          </w:p>
        </w:tc>
      </w:tr>
      <w:tr>
        <w:tc>
          <w:tcPr>
            <w:tcW w:type="dxa" w:w="2448"/>
            <w:vAlign w:val="top"/>
          </w:tcPr>
          <w:p>
            <w:r>
              <w:rPr>
                <w:sz w:val="17"/>
              </w:rPr>
            </w:r>
            <w:r>
              <w:rPr>
                <w:b w:val="0"/>
                <w:sz w:val="17"/>
              </w:rPr>
              <w:t>/history</w:t>
            </w:r>
          </w:p>
        </w:tc>
        <w:tc>
          <w:tcPr>
            <w:tcW w:type="dxa" w:w="2592"/>
            <w:vAlign w:val="top"/>
          </w:tcPr>
          <w:p>
            <w:r>
              <w:rPr>
                <w:sz w:val="17"/>
              </w:rPr>
            </w:r>
            <w:r>
              <w:rPr>
                <w:b w:val="0"/>
                <w:sz w:val="17"/>
              </w:rPr>
              <w:t>Saved Runs</w:t>
            </w:r>
          </w:p>
        </w:tc>
        <w:tc>
          <w:tcPr>
            <w:tcW w:type="dxa" w:w="2016"/>
            <w:vAlign w:val="top"/>
          </w:tcPr>
          <w:p>
            <w:r>
              <w:rPr>
                <w:sz w:val="17"/>
              </w:rPr>
            </w:r>
            <w:r>
              <w:rPr>
                <w:b w:val="0"/>
                <w:sz w:val="17"/>
              </w:rPr>
              <w:t>Action-based</w:t>
            </w:r>
          </w:p>
        </w:tc>
        <w:tc>
          <w:tcPr>
            <w:tcW w:type="dxa" w:w="3600"/>
            <w:vAlign w:val="top"/>
          </w:tcPr>
          <w:p>
            <w:r>
              <w:rPr>
                <w:sz w:val="17"/>
              </w:rPr>
            </w:r>
            <w:r>
              <w:rPr>
                <w:b w:val="0"/>
                <w:sz w:val="17"/>
              </w:rPr>
              <w:t>Open, duplicate, compare, delete and export runs.</w:t>
            </w:r>
          </w:p>
        </w:tc>
      </w:tr>
      <w:tr>
        <w:tc>
          <w:tcPr>
            <w:tcW w:type="dxa" w:w="2448"/>
            <w:vAlign w:val="top"/>
          </w:tcPr>
          <w:p>
            <w:r>
              <w:rPr>
                <w:sz w:val="17"/>
              </w:rPr>
            </w:r>
            <w:r>
              <w:rPr>
                <w:b w:val="0"/>
                <w:sz w:val="17"/>
              </w:rPr>
              <w:t>/admin/tax-rules</w:t>
            </w:r>
          </w:p>
        </w:tc>
        <w:tc>
          <w:tcPr>
            <w:tcW w:type="dxa" w:w="2592"/>
            <w:vAlign w:val="top"/>
          </w:tcPr>
          <w:p>
            <w:r>
              <w:rPr>
                <w:sz w:val="17"/>
              </w:rPr>
            </w:r>
            <w:r>
              <w:rPr>
                <w:b w:val="0"/>
                <w:sz w:val="17"/>
              </w:rPr>
              <w:t>Tax Rules Admin</w:t>
            </w:r>
          </w:p>
        </w:tc>
        <w:tc>
          <w:tcPr>
            <w:tcW w:type="dxa" w:w="2016"/>
            <w:vAlign w:val="top"/>
          </w:tcPr>
          <w:p>
            <w:r>
              <w:rPr>
                <w:sz w:val="17"/>
              </w:rPr>
            </w:r>
            <w:r>
              <w:rPr>
                <w:b w:val="0"/>
                <w:sz w:val="17"/>
              </w:rPr>
              <w:t>Admin only</w:t>
            </w:r>
          </w:p>
        </w:tc>
        <w:tc>
          <w:tcPr>
            <w:tcW w:type="dxa" w:w="3600"/>
            <w:vAlign w:val="top"/>
          </w:tcPr>
          <w:p>
            <w:r>
              <w:rPr>
                <w:sz w:val="17"/>
              </w:rPr>
            </w:r>
            <w:r>
              <w:rPr>
                <w:b w:val="0"/>
                <w:sz w:val="17"/>
              </w:rPr>
              <w:t>Maintain tax defaults and source governance.</w:t>
            </w:r>
          </w:p>
        </w:tc>
      </w:tr>
    </w:tbl>
    <w:p>
      <w:pPr>
        <w:pStyle w:val="ListBullet"/>
      </w:pPr>
      <w:r>
        <w:t>Use yellow or clearly highlighted input styling for editable values.</w:t>
      </w:r>
    </w:p>
    <w:p>
      <w:pPr>
        <w:pStyle w:val="ListBullet"/>
      </w:pPr>
      <w:r>
        <w:t>Use read-only styling for computed values and tax defaults.</w:t>
      </w:r>
    </w:p>
    <w:p>
      <w:pPr>
        <w:pStyle w:val="ListBullet"/>
      </w:pPr>
      <w:r>
        <w:t>Use inline validation and prevent calculation submission when critical inputs are invalid.</w:t>
      </w:r>
    </w:p>
    <w:p>
      <w:pPr>
        <w:pStyle w:val="ListBullet"/>
      </w:pPr>
      <w:r>
        <w:t>Use one primary action per page: Continue, Calculate, Save, Export or Compare.</w:t>
      </w:r>
    </w:p>
    <w:p>
      <w:pPr>
        <w:pStyle w:val="ListBullet"/>
      </w:pPr>
      <w:r>
        <w:t>Display formulas in expandable help text so users can audit the calculation logic without being overwhelmed.</w:t>
      </w:r>
    </w:p>
    <w:p>
      <w:pPr>
        <w:pStyle w:val="Heading1"/>
      </w:pPr>
      <w:r>
        <w:t>16. Roles, Permissions and Audit Trail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2160"/>
            <w:vAlign w:val="top"/>
            <w:shd w:fill="0F766E"/>
          </w:tcPr>
          <w:p>
            <w:r>
              <w:rPr>
                <w:b/>
                <w:color w:val="FFFFFF"/>
                <w:sz w:val="17"/>
              </w:rPr>
            </w:r>
            <w:r>
              <w:rPr>
                <w:b/>
                <w:color w:val="FFFFFF"/>
                <w:sz w:val="17"/>
              </w:rPr>
              <w:t>Role</w:t>
            </w:r>
          </w:p>
        </w:tc>
        <w:tc>
          <w:tcPr>
            <w:tcW w:type="dxa" w:w="8496"/>
            <w:vAlign w:val="top"/>
            <w:shd w:fill="0F766E"/>
          </w:tcPr>
          <w:p>
            <w:r>
              <w:rPr>
                <w:b/>
                <w:color w:val="FFFFFF"/>
                <w:sz w:val="17"/>
              </w:rPr>
            </w:r>
            <w:r>
              <w:rPr>
                <w:b/>
                <w:color w:val="FFFFFF"/>
                <w:sz w:val="17"/>
              </w:rPr>
              <w:t>Permissions</w:t>
            </w:r>
          </w:p>
        </w:tc>
      </w:tr>
      <w:tr>
        <w:tc>
          <w:tcPr>
            <w:tcW w:type="dxa" w:w="2160"/>
            <w:vAlign w:val="top"/>
          </w:tcPr>
          <w:p>
            <w:r>
              <w:rPr>
                <w:sz w:val="17"/>
              </w:rPr>
            </w:r>
            <w:r>
              <w:rPr>
                <w:b w:val="0"/>
                <w:sz w:val="17"/>
              </w:rPr>
              <w:t>Admin</w:t>
            </w:r>
          </w:p>
        </w:tc>
        <w:tc>
          <w:tcPr>
            <w:tcW w:type="dxa" w:w="8496"/>
            <w:vAlign w:val="top"/>
          </w:tcPr>
          <w:p>
            <w:r>
              <w:rPr>
                <w:sz w:val="17"/>
              </w:rPr>
            </w:r>
            <w:r>
              <w:rPr>
                <w:b w:val="0"/>
                <w:sz w:val="17"/>
              </w:rPr>
              <w:t>Manage users, tax rules, vehicle classes, reference data, audit logs and exports.</w:t>
            </w:r>
          </w:p>
        </w:tc>
      </w:tr>
      <w:tr>
        <w:tc>
          <w:tcPr>
            <w:tcW w:type="dxa" w:w="2160"/>
            <w:vAlign w:val="top"/>
          </w:tcPr>
          <w:p>
            <w:r>
              <w:rPr>
                <w:sz w:val="17"/>
              </w:rPr>
            </w:r>
            <w:r>
              <w:rPr>
                <w:b w:val="0"/>
                <w:sz w:val="17"/>
              </w:rPr>
              <w:t>Company user</w:t>
            </w:r>
          </w:p>
        </w:tc>
        <w:tc>
          <w:tcPr>
            <w:tcW w:type="dxa" w:w="8496"/>
            <w:vAlign w:val="top"/>
          </w:tcPr>
          <w:p>
            <w:r>
              <w:rPr>
                <w:sz w:val="17"/>
              </w:rPr>
            </w:r>
            <w:r>
              <w:rPr>
                <w:b w:val="0"/>
                <w:sz w:val="17"/>
              </w:rPr>
              <w:t>Create, edit, preview, save, duplicate and export calculation runs.</w:t>
            </w:r>
          </w:p>
        </w:tc>
      </w:tr>
      <w:tr>
        <w:tc>
          <w:tcPr>
            <w:tcW w:type="dxa" w:w="2160"/>
            <w:vAlign w:val="top"/>
          </w:tcPr>
          <w:p>
            <w:r>
              <w:rPr>
                <w:sz w:val="17"/>
              </w:rPr>
            </w:r>
            <w:r>
              <w:rPr>
                <w:b w:val="0"/>
                <w:sz w:val="17"/>
              </w:rPr>
              <w:t>Viewer</w:t>
            </w:r>
          </w:p>
        </w:tc>
        <w:tc>
          <w:tcPr>
            <w:tcW w:type="dxa" w:w="8496"/>
            <w:vAlign w:val="top"/>
          </w:tcPr>
          <w:p>
            <w:r>
              <w:rPr>
                <w:sz w:val="17"/>
              </w:rPr>
            </w:r>
            <w:r>
              <w:rPr>
                <w:b w:val="0"/>
                <w:sz w:val="17"/>
              </w:rPr>
              <w:t>View saved runs, reports and dashboards; cannot edit assumptions.</w:t>
            </w:r>
          </w:p>
        </w:tc>
      </w:tr>
    </w:tbl>
    <w:tbl>
      <w:tblPr>
        <w:tblStyle w:val="TableGrid"/>
        <w:tblW w:type="auto" w:w="0"/>
        <w:jc w:val="center"/>
        <w:tblLayout w:type="autofit"/>
        <w:tblLook w:firstColumn="1" w:firstRow="1" w:lastColumn="0" w:lastRow="0" w:noHBand="0" w:noVBand="1" w:val="04A0"/>
      </w:tblPr>
      <w:tblGrid>
        <w:gridCol w:w="5184"/>
        <w:gridCol w:w="5184"/>
      </w:tblGrid>
      <w:tr>
        <w:tc>
          <w:tcPr>
            <w:tcW w:type="dxa" w:w="3456"/>
            <w:vAlign w:val="top"/>
            <w:shd w:fill="0F766E"/>
          </w:tcPr>
          <w:p>
            <w:r>
              <w:rPr>
                <w:b/>
                <w:color w:val="FFFFFF"/>
                <w:sz w:val="17"/>
              </w:rPr>
            </w:r>
            <w:r>
              <w:rPr>
                <w:b/>
                <w:color w:val="FFFFFF"/>
                <w:sz w:val="17"/>
              </w:rPr>
              <w:t>Audit event</w:t>
            </w:r>
          </w:p>
        </w:tc>
        <w:tc>
          <w:tcPr>
            <w:tcW w:type="dxa" w:w="7200"/>
            <w:vAlign w:val="top"/>
            <w:shd w:fill="0F766E"/>
          </w:tcPr>
          <w:p>
            <w:r>
              <w:rPr>
                <w:b/>
                <w:color w:val="FFFFFF"/>
                <w:sz w:val="17"/>
              </w:rPr>
            </w:r>
            <w:r>
              <w:rPr>
                <w:b/>
                <w:color w:val="FFFFFF"/>
                <w:sz w:val="17"/>
              </w:rPr>
              <w:t>Trigger</w:t>
            </w:r>
          </w:p>
        </w:tc>
      </w:tr>
      <w:tr>
        <w:tc>
          <w:tcPr>
            <w:tcW w:type="dxa" w:w="3456"/>
            <w:vAlign w:val="top"/>
          </w:tcPr>
          <w:p>
            <w:r>
              <w:rPr>
                <w:sz w:val="17"/>
              </w:rPr>
            </w:r>
            <w:r>
              <w:rPr>
                <w:b w:val="0"/>
                <w:sz w:val="17"/>
              </w:rPr>
              <w:t>CALCULATION_PREVIEWED</w:t>
            </w:r>
          </w:p>
        </w:tc>
        <w:tc>
          <w:tcPr>
            <w:tcW w:type="dxa" w:w="7200"/>
            <w:vAlign w:val="top"/>
          </w:tcPr>
          <w:p>
            <w:r>
              <w:rPr>
                <w:sz w:val="17"/>
              </w:rPr>
            </w:r>
            <w:r>
              <w:rPr>
                <w:b w:val="0"/>
                <w:sz w:val="17"/>
              </w:rPr>
              <w:t>Optional telemetry when preview endpoint is used.</w:t>
            </w:r>
          </w:p>
        </w:tc>
      </w:tr>
      <w:tr>
        <w:tc>
          <w:tcPr>
            <w:tcW w:type="dxa" w:w="3456"/>
            <w:vAlign w:val="top"/>
          </w:tcPr>
          <w:p>
            <w:r>
              <w:rPr>
                <w:sz w:val="17"/>
              </w:rPr>
            </w:r>
            <w:r>
              <w:rPr>
                <w:b w:val="0"/>
                <w:sz w:val="17"/>
              </w:rPr>
              <w:t>CALCULATION_SAVED</w:t>
            </w:r>
          </w:p>
        </w:tc>
        <w:tc>
          <w:tcPr>
            <w:tcW w:type="dxa" w:w="7200"/>
            <w:vAlign w:val="top"/>
          </w:tcPr>
          <w:p>
            <w:r>
              <w:rPr>
                <w:sz w:val="17"/>
              </w:rPr>
            </w:r>
            <w:r>
              <w:rPr>
                <w:b w:val="0"/>
                <w:sz w:val="17"/>
              </w:rPr>
              <w:t>User saves a run.</w:t>
            </w:r>
          </w:p>
        </w:tc>
      </w:tr>
      <w:tr>
        <w:tc>
          <w:tcPr>
            <w:tcW w:type="dxa" w:w="3456"/>
            <w:vAlign w:val="top"/>
          </w:tcPr>
          <w:p>
            <w:r>
              <w:rPr>
                <w:sz w:val="17"/>
              </w:rPr>
            </w:r>
            <w:r>
              <w:rPr>
                <w:b w:val="0"/>
                <w:sz w:val="17"/>
              </w:rPr>
              <w:t>CALCULATION_DUPLICATED</w:t>
            </w:r>
          </w:p>
        </w:tc>
        <w:tc>
          <w:tcPr>
            <w:tcW w:type="dxa" w:w="7200"/>
            <w:vAlign w:val="top"/>
          </w:tcPr>
          <w:p>
            <w:r>
              <w:rPr>
                <w:sz w:val="17"/>
              </w:rPr>
            </w:r>
            <w:r>
              <w:rPr>
                <w:b w:val="0"/>
                <w:sz w:val="17"/>
              </w:rPr>
              <w:t>User duplicates an existing run.</w:t>
            </w:r>
          </w:p>
        </w:tc>
      </w:tr>
      <w:tr>
        <w:tc>
          <w:tcPr>
            <w:tcW w:type="dxa" w:w="3456"/>
            <w:vAlign w:val="top"/>
          </w:tcPr>
          <w:p>
            <w:r>
              <w:rPr>
                <w:sz w:val="17"/>
              </w:rPr>
            </w:r>
            <w:r>
              <w:rPr>
                <w:b w:val="0"/>
                <w:sz w:val="17"/>
              </w:rPr>
              <w:t>CALCULATION_DELETED</w:t>
            </w:r>
          </w:p>
        </w:tc>
        <w:tc>
          <w:tcPr>
            <w:tcW w:type="dxa" w:w="7200"/>
            <w:vAlign w:val="top"/>
          </w:tcPr>
          <w:p>
            <w:r>
              <w:rPr>
                <w:sz w:val="17"/>
              </w:rPr>
            </w:r>
            <w:r>
              <w:rPr>
                <w:b w:val="0"/>
                <w:sz w:val="17"/>
              </w:rPr>
              <w:t>User deletes a run.</w:t>
            </w:r>
          </w:p>
        </w:tc>
      </w:tr>
      <w:tr>
        <w:tc>
          <w:tcPr>
            <w:tcW w:type="dxa" w:w="3456"/>
            <w:vAlign w:val="top"/>
          </w:tcPr>
          <w:p>
            <w:r>
              <w:rPr>
                <w:sz w:val="17"/>
              </w:rPr>
            </w:r>
            <w:r>
              <w:rPr>
                <w:b w:val="0"/>
                <w:sz w:val="17"/>
              </w:rPr>
              <w:t>TAX_RULE_CREATED / UPDATED</w:t>
            </w:r>
          </w:p>
        </w:tc>
        <w:tc>
          <w:tcPr>
            <w:tcW w:type="dxa" w:w="7200"/>
            <w:vAlign w:val="top"/>
          </w:tcPr>
          <w:p>
            <w:r>
              <w:rPr>
                <w:sz w:val="17"/>
              </w:rPr>
            </w:r>
            <w:r>
              <w:rPr>
                <w:b w:val="0"/>
                <w:sz w:val="17"/>
              </w:rPr>
              <w:t>Admin changes fiscal assumptions.</w:t>
            </w:r>
          </w:p>
        </w:tc>
      </w:tr>
      <w:tr>
        <w:tc>
          <w:tcPr>
            <w:tcW w:type="dxa" w:w="3456"/>
            <w:vAlign w:val="top"/>
          </w:tcPr>
          <w:p>
            <w:r>
              <w:rPr>
                <w:sz w:val="17"/>
              </w:rPr>
            </w:r>
            <w:r>
              <w:rPr>
                <w:b w:val="0"/>
                <w:sz w:val="17"/>
              </w:rPr>
              <w:t>VEHICLE_CLASS_UPDATED</w:t>
            </w:r>
          </w:p>
        </w:tc>
        <w:tc>
          <w:tcPr>
            <w:tcW w:type="dxa" w:w="7200"/>
            <w:vAlign w:val="top"/>
          </w:tcPr>
          <w:p>
            <w:r>
              <w:rPr>
                <w:sz w:val="17"/>
              </w:rPr>
            </w:r>
            <w:r>
              <w:rPr>
                <w:b w:val="0"/>
                <w:sz w:val="17"/>
              </w:rPr>
              <w:t>Admin changes vehicle defaults.</w:t>
            </w:r>
          </w:p>
        </w:tc>
      </w:tr>
      <w:tr>
        <w:tc>
          <w:tcPr>
            <w:tcW w:type="dxa" w:w="3456"/>
            <w:vAlign w:val="top"/>
          </w:tcPr>
          <w:p>
            <w:r>
              <w:rPr>
                <w:sz w:val="17"/>
              </w:rPr>
            </w:r>
            <w:r>
              <w:rPr>
                <w:b w:val="0"/>
                <w:sz w:val="17"/>
              </w:rPr>
              <w:t>EXPORT_GENERATED</w:t>
            </w:r>
          </w:p>
        </w:tc>
        <w:tc>
          <w:tcPr>
            <w:tcW w:type="dxa" w:w="7200"/>
            <w:vAlign w:val="top"/>
          </w:tcPr>
          <w:p>
            <w:r>
              <w:rPr>
                <w:sz w:val="17"/>
              </w:rPr>
            </w:r>
            <w:r>
              <w:rPr>
                <w:b w:val="0"/>
                <w:sz w:val="17"/>
              </w:rPr>
              <w:t>PDF or Excel export created.</w:t>
            </w:r>
          </w:p>
        </w:tc>
      </w:tr>
    </w:tbl>
    <w:p>
      <w:pPr>
        <w:pStyle w:val="Heading1"/>
      </w:pPr>
      <w:r>
        <w:t>17. Export, Import and Reporting Deliverables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vAlign w:val="top"/>
            <w:shd w:fill="0F766E"/>
          </w:tcPr>
          <w:p>
            <w:r>
              <w:rPr>
                <w:b/>
                <w:color w:val="FFFFFF"/>
                <w:sz w:val="17"/>
              </w:rPr>
            </w:r>
            <w:r>
              <w:rPr>
                <w:b/>
                <w:color w:val="FFFFFF"/>
                <w:sz w:val="17"/>
              </w:rPr>
              <w:t>Deliverable</w:t>
            </w:r>
          </w:p>
        </w:tc>
        <w:tc>
          <w:tcPr>
            <w:tcW w:type="dxa" w:w="1440"/>
            <w:vAlign w:val="top"/>
            <w:shd w:fill="0F766E"/>
          </w:tcPr>
          <w:p>
            <w:r>
              <w:rPr>
                <w:b/>
                <w:color w:val="FFFFFF"/>
                <w:sz w:val="17"/>
              </w:rPr>
            </w:r>
            <w:r>
              <w:rPr>
                <w:b/>
                <w:color w:val="FFFFFF"/>
                <w:sz w:val="17"/>
              </w:rPr>
              <w:t>Format</w:t>
            </w:r>
          </w:p>
        </w:tc>
        <w:tc>
          <w:tcPr>
            <w:tcW w:type="dxa" w:w="6336"/>
            <w:vAlign w:val="top"/>
            <w:shd w:fill="0F766E"/>
          </w:tcPr>
          <w:p>
            <w:r>
              <w:rPr>
                <w:b/>
                <w:color w:val="FFFFFF"/>
                <w:sz w:val="17"/>
              </w:rPr>
            </w:r>
            <w:r>
              <w:rPr>
                <w:b/>
                <w:color w:val="FFFFFF"/>
                <w:sz w:val="17"/>
              </w:rPr>
              <w:t>Purpose</w:t>
            </w:r>
          </w:p>
        </w:tc>
      </w:tr>
      <w:tr>
        <w:tc>
          <w:tcPr>
            <w:tcW w:type="dxa" w:w="2880"/>
            <w:vAlign w:val="top"/>
          </w:tcPr>
          <w:p>
            <w:r>
              <w:rPr>
                <w:sz w:val="17"/>
              </w:rPr>
            </w:r>
            <w:r>
              <w:rPr>
                <w:b w:val="0"/>
                <w:sz w:val="17"/>
              </w:rPr>
              <w:t>Calculation summary</w:t>
            </w:r>
          </w:p>
        </w:tc>
        <w:tc>
          <w:tcPr>
            <w:tcW w:type="dxa" w:w="1440"/>
            <w:vAlign w:val="top"/>
          </w:tcPr>
          <w:p>
            <w:r>
              <w:rPr>
                <w:sz w:val="17"/>
              </w:rPr>
            </w:r>
            <w:r>
              <w:rPr>
                <w:b w:val="0"/>
                <w:sz w:val="17"/>
              </w:rPr>
              <w:t>PDF</w:t>
            </w:r>
          </w:p>
        </w:tc>
        <w:tc>
          <w:tcPr>
            <w:tcW w:type="dxa" w:w="6336"/>
            <w:vAlign w:val="top"/>
          </w:tcPr>
          <w:p>
            <w:r>
              <w:rPr>
                <w:sz w:val="17"/>
              </w:rPr>
            </w:r>
            <w:r>
              <w:rPr>
                <w:b w:val="0"/>
                <w:sz w:val="17"/>
              </w:rPr>
              <w:t>Management or customer-facing summary with assumptions, break-even and final rate.</w:t>
            </w:r>
          </w:p>
        </w:tc>
      </w:tr>
      <w:tr>
        <w:tc>
          <w:tcPr>
            <w:tcW w:type="dxa" w:w="2880"/>
            <w:vAlign w:val="top"/>
          </w:tcPr>
          <w:p>
            <w:r>
              <w:rPr>
                <w:sz w:val="17"/>
              </w:rPr>
            </w:r>
            <w:r>
              <w:rPr>
                <w:b w:val="0"/>
                <w:sz w:val="17"/>
              </w:rPr>
              <w:t>Scenario comparison</w:t>
            </w:r>
          </w:p>
        </w:tc>
        <w:tc>
          <w:tcPr>
            <w:tcW w:type="dxa" w:w="1440"/>
            <w:vAlign w:val="top"/>
          </w:tcPr>
          <w:p>
            <w:r>
              <w:rPr>
                <w:sz w:val="17"/>
              </w:rPr>
            </w:r>
            <w:r>
              <w:rPr>
                <w:b w:val="0"/>
                <w:sz w:val="17"/>
              </w:rPr>
              <w:t>XLSX</w:t>
            </w:r>
          </w:p>
        </w:tc>
        <w:tc>
          <w:tcPr>
            <w:tcW w:type="dxa" w:w="6336"/>
            <w:vAlign w:val="top"/>
          </w:tcPr>
          <w:p>
            <w:r>
              <w:rPr>
                <w:sz w:val="17"/>
              </w:rPr>
            </w:r>
            <w:r>
              <w:rPr>
                <w:b w:val="0"/>
                <w:sz w:val="17"/>
              </w:rPr>
              <w:t>Detailed table for pricing scenarios and sensitivity matrices.</w:t>
            </w:r>
          </w:p>
        </w:tc>
      </w:tr>
      <w:tr>
        <w:tc>
          <w:tcPr>
            <w:tcW w:type="dxa" w:w="2880"/>
            <w:vAlign w:val="top"/>
          </w:tcPr>
          <w:p>
            <w:r>
              <w:rPr>
                <w:sz w:val="17"/>
              </w:rPr>
            </w:r>
            <w:r>
              <w:rPr>
                <w:b w:val="0"/>
                <w:sz w:val="17"/>
              </w:rPr>
              <w:t>Pricing proposal</w:t>
            </w:r>
          </w:p>
        </w:tc>
        <w:tc>
          <w:tcPr>
            <w:tcW w:type="dxa" w:w="1440"/>
            <w:vAlign w:val="top"/>
          </w:tcPr>
          <w:p>
            <w:r>
              <w:rPr>
                <w:sz w:val="17"/>
              </w:rPr>
            </w:r>
            <w:r>
              <w:rPr>
                <w:b w:val="0"/>
                <w:sz w:val="17"/>
              </w:rPr>
              <w:t>PDF</w:t>
            </w:r>
          </w:p>
        </w:tc>
        <w:tc>
          <w:tcPr>
            <w:tcW w:type="dxa" w:w="6336"/>
            <w:vAlign w:val="top"/>
          </w:tcPr>
          <w:p>
            <w:r>
              <w:rPr>
                <w:sz w:val="17"/>
              </w:rPr>
            </w:r>
            <w:r>
              <w:rPr>
                <w:b w:val="0"/>
                <w:sz w:val="17"/>
              </w:rPr>
              <w:t>Commercial offer with customer rate excluding and including VAT.</w:t>
            </w:r>
          </w:p>
        </w:tc>
      </w:tr>
      <w:tr>
        <w:tc>
          <w:tcPr>
            <w:tcW w:type="dxa" w:w="2880"/>
            <w:vAlign w:val="top"/>
          </w:tcPr>
          <w:p>
            <w:r>
              <w:rPr>
                <w:sz w:val="17"/>
              </w:rPr>
            </w:r>
            <w:r>
              <w:rPr>
                <w:b w:val="0"/>
                <w:sz w:val="17"/>
              </w:rPr>
              <w:t>Audit pack</w:t>
            </w:r>
          </w:p>
        </w:tc>
        <w:tc>
          <w:tcPr>
            <w:tcW w:type="dxa" w:w="1440"/>
            <w:vAlign w:val="top"/>
          </w:tcPr>
          <w:p>
            <w:r>
              <w:rPr>
                <w:sz w:val="17"/>
              </w:rPr>
            </w:r>
            <w:r>
              <w:rPr>
                <w:b w:val="0"/>
                <w:sz w:val="17"/>
              </w:rPr>
              <w:t>JSON / PDF</w:t>
            </w:r>
          </w:p>
        </w:tc>
        <w:tc>
          <w:tcPr>
            <w:tcW w:type="dxa" w:w="6336"/>
            <w:vAlign w:val="top"/>
          </w:tcPr>
          <w:p>
            <w:r>
              <w:rPr>
                <w:sz w:val="17"/>
              </w:rPr>
            </w:r>
            <w:r>
              <w:rPr>
                <w:b w:val="0"/>
                <w:sz w:val="17"/>
              </w:rPr>
              <w:t>Technical record of inputs, tax snapshot and outputs.</w:t>
            </w:r>
          </w:p>
        </w:tc>
      </w:tr>
      <w:tr>
        <w:tc>
          <w:tcPr>
            <w:tcW w:type="dxa" w:w="2880"/>
            <w:vAlign w:val="top"/>
          </w:tcPr>
          <w:p>
            <w:r>
              <w:rPr>
                <w:sz w:val="17"/>
              </w:rPr>
            </w:r>
            <w:r>
              <w:rPr>
                <w:b w:val="0"/>
                <w:sz w:val="17"/>
              </w:rPr>
              <w:t>Reference-data import</w:t>
            </w:r>
          </w:p>
        </w:tc>
        <w:tc>
          <w:tcPr>
            <w:tcW w:type="dxa" w:w="1440"/>
            <w:vAlign w:val="top"/>
          </w:tcPr>
          <w:p>
            <w:r>
              <w:rPr>
                <w:sz w:val="17"/>
              </w:rPr>
            </w:r>
            <w:r>
              <w:rPr>
                <w:b w:val="0"/>
                <w:sz w:val="17"/>
              </w:rPr>
              <w:t>CSV / XLSX</w:t>
            </w:r>
          </w:p>
        </w:tc>
        <w:tc>
          <w:tcPr>
            <w:tcW w:type="dxa" w:w="6336"/>
            <w:vAlign w:val="top"/>
          </w:tcPr>
          <w:p>
            <w:r>
              <w:rPr>
                <w:sz w:val="17"/>
              </w:rPr>
            </w:r>
            <w:r>
              <w:rPr>
                <w:b w:val="0"/>
                <w:sz w:val="17"/>
              </w:rPr>
              <w:t>Future admin import for tax rules and vehicle classes.</w:t>
            </w:r>
          </w:p>
        </w:tc>
      </w:tr>
    </w:tbl>
    <w:p>
      <w:pPr>
        <w:pStyle w:val="Heading1"/>
      </w:pPr>
      <w:r>
        <w:t>18. Edge Cases and Exception Handling</w:t>
      </w:r>
    </w:p>
    <w:tbl>
      <w:tblPr>
        <w:tblStyle w:val="TableGrid"/>
        <w:tblW w:type="auto" w:w="0"/>
        <w:jc w:val="center"/>
        <w:tblLayout w:type="autofit"/>
        <w:tblLook w:firstColumn="1" w:firstRow="1" w:lastColumn="0" w:lastRow="0" w:noHBand="0" w:noVBand="1" w:val="04A0"/>
      </w:tblPr>
      <w:tblGrid>
        <w:gridCol w:w="5184"/>
        <w:gridCol w:w="5184"/>
      </w:tblGrid>
      <w:tr>
        <w:tc>
          <w:tcPr>
            <w:tcW w:type="dxa" w:w="3168"/>
            <w:vAlign w:val="top"/>
            <w:shd w:fill="0F766E"/>
          </w:tcPr>
          <w:p>
            <w:r>
              <w:rPr>
                <w:b/>
                <w:color w:val="FFFFFF"/>
                <w:sz w:val="17"/>
              </w:rPr>
            </w:r>
            <w:r>
              <w:rPr>
                <w:b/>
                <w:color w:val="FFFFFF"/>
                <w:sz w:val="17"/>
              </w:rPr>
              <w:t>Edge case</w:t>
            </w:r>
          </w:p>
        </w:tc>
        <w:tc>
          <w:tcPr>
            <w:tcW w:type="dxa" w:w="7488"/>
            <w:vAlign w:val="top"/>
            <w:shd w:fill="0F766E"/>
          </w:tcPr>
          <w:p>
            <w:r>
              <w:rPr>
                <w:b/>
                <w:color w:val="FFFFFF"/>
                <w:sz w:val="17"/>
              </w:rPr>
            </w:r>
            <w:r>
              <w:rPr>
                <w:b/>
                <w:color w:val="FFFFFF"/>
                <w:sz w:val="17"/>
              </w:rPr>
              <w:t>Required behaviour</w:t>
            </w:r>
          </w:p>
        </w:tc>
      </w:tr>
      <w:tr>
        <w:tc>
          <w:tcPr>
            <w:tcW w:type="dxa" w:w="3168"/>
            <w:vAlign w:val="top"/>
          </w:tcPr>
          <w:p>
            <w:r>
              <w:rPr>
                <w:sz w:val="17"/>
              </w:rPr>
            </w:r>
            <w:r>
              <w:rPr>
                <w:b w:val="0"/>
                <w:sz w:val="17"/>
              </w:rPr>
              <w:t>Zero or blank daily km</w:t>
            </w:r>
          </w:p>
        </w:tc>
        <w:tc>
          <w:tcPr>
            <w:tcW w:type="dxa" w:w="7488"/>
            <w:vAlign w:val="top"/>
          </w:tcPr>
          <w:p>
            <w:r>
              <w:rPr>
                <w:sz w:val="17"/>
              </w:rPr>
            </w:r>
            <w:r>
              <w:rPr>
                <w:b w:val="0"/>
                <w:sz w:val="17"/>
              </w:rPr>
              <w:t>Reject input and explain that annual km cannot be computed.</w:t>
            </w:r>
          </w:p>
        </w:tc>
      </w:tr>
      <w:tr>
        <w:tc>
          <w:tcPr>
            <w:tcW w:type="dxa" w:w="3168"/>
            <w:vAlign w:val="top"/>
          </w:tcPr>
          <w:p>
            <w:r>
              <w:rPr>
                <w:sz w:val="17"/>
              </w:rPr>
            </w:r>
            <w:r>
              <w:rPr>
                <w:b w:val="0"/>
                <w:sz w:val="17"/>
              </w:rPr>
              <w:t>Zero load factor</w:t>
            </w:r>
          </w:p>
        </w:tc>
        <w:tc>
          <w:tcPr>
            <w:tcW w:type="dxa" w:w="7488"/>
            <w:vAlign w:val="top"/>
          </w:tcPr>
          <w:p>
            <w:r>
              <w:rPr>
                <w:sz w:val="17"/>
              </w:rPr>
            </w:r>
            <w:r>
              <w:rPr>
                <w:b w:val="0"/>
                <w:sz w:val="17"/>
              </w:rPr>
              <w:t>Reject because loaded km and revenue basis would be zero.</w:t>
            </w:r>
          </w:p>
        </w:tc>
      </w:tr>
      <w:tr>
        <w:tc>
          <w:tcPr>
            <w:tcW w:type="dxa" w:w="3168"/>
            <w:vAlign w:val="top"/>
          </w:tcPr>
          <w:p>
            <w:r>
              <w:rPr>
                <w:sz w:val="17"/>
              </w:rPr>
            </w:r>
            <w:r>
              <w:rPr>
                <w:b w:val="0"/>
                <w:sz w:val="17"/>
              </w:rPr>
              <w:t>Payload utilisation above 100%</w:t>
            </w:r>
          </w:p>
        </w:tc>
        <w:tc>
          <w:tcPr>
            <w:tcW w:type="dxa" w:w="7488"/>
            <w:vAlign w:val="top"/>
          </w:tcPr>
          <w:p>
            <w:r>
              <w:rPr>
                <w:sz w:val="17"/>
              </w:rPr>
            </w:r>
            <w:r>
              <w:rPr>
                <w:b w:val="0"/>
                <w:sz w:val="17"/>
              </w:rPr>
              <w:t>Reject or normalise only if admin explicitly allows overweight modelling.</w:t>
            </w:r>
          </w:p>
        </w:tc>
      </w:tr>
      <w:tr>
        <w:tc>
          <w:tcPr>
            <w:tcW w:type="dxa" w:w="3168"/>
            <w:vAlign w:val="top"/>
          </w:tcPr>
          <w:p>
            <w:r>
              <w:rPr>
                <w:sz w:val="17"/>
              </w:rPr>
            </w:r>
            <w:r>
              <w:rPr>
                <w:b w:val="0"/>
                <w:sz w:val="17"/>
              </w:rPr>
              <w:t>Negative EBIT</w:t>
            </w:r>
          </w:p>
        </w:tc>
        <w:tc>
          <w:tcPr>
            <w:tcW w:type="dxa" w:w="7488"/>
            <w:vAlign w:val="top"/>
          </w:tcPr>
          <w:p>
            <w:r>
              <w:rPr>
                <w:sz w:val="17"/>
              </w:rPr>
            </w:r>
            <w:r>
              <w:rPr>
                <w:b w:val="0"/>
                <w:sz w:val="17"/>
              </w:rPr>
              <w:t>Show business tax as zero and profit after tax as EBIT. Highlight unprofitable scenario.</w:t>
            </w:r>
          </w:p>
        </w:tc>
      </w:tr>
      <w:tr>
        <w:tc>
          <w:tcPr>
            <w:tcW w:type="dxa" w:w="3168"/>
            <w:vAlign w:val="top"/>
          </w:tcPr>
          <w:p>
            <w:r>
              <w:rPr>
                <w:sz w:val="17"/>
              </w:rPr>
            </w:r>
            <w:r>
              <w:rPr>
                <w:b w:val="0"/>
                <w:sz w:val="17"/>
              </w:rPr>
              <w:t>VAT not registered</w:t>
            </w:r>
          </w:p>
        </w:tc>
        <w:tc>
          <w:tcPr>
            <w:tcW w:type="dxa" w:w="7488"/>
            <w:vAlign w:val="top"/>
          </w:tcPr>
          <w:p>
            <w:r>
              <w:rPr>
                <w:sz w:val="17"/>
              </w:rPr>
            </w:r>
            <w:r>
              <w:rPr>
                <w:b w:val="0"/>
                <w:sz w:val="17"/>
              </w:rPr>
              <w:t>Set invoice rate equal to customer rate excluding VAT and show VAT collected as zero.</w:t>
            </w:r>
          </w:p>
        </w:tc>
      </w:tr>
      <w:tr>
        <w:tc>
          <w:tcPr>
            <w:tcW w:type="dxa" w:w="3168"/>
            <w:vAlign w:val="top"/>
          </w:tcPr>
          <w:p>
            <w:r>
              <w:rPr>
                <w:sz w:val="17"/>
              </w:rPr>
            </w:r>
            <w:r>
              <w:rPr>
                <w:b w:val="0"/>
                <w:sz w:val="17"/>
              </w:rPr>
              <w:t>Missing tax rule</w:t>
            </w:r>
          </w:p>
        </w:tc>
        <w:tc>
          <w:tcPr>
            <w:tcW w:type="dxa" w:w="7488"/>
            <w:vAlign w:val="top"/>
          </w:tcPr>
          <w:p>
            <w:r>
              <w:rPr>
                <w:sz w:val="17"/>
              </w:rPr>
            </w:r>
            <w:r>
              <w:rPr>
                <w:b w:val="0"/>
                <w:sz w:val="17"/>
              </w:rPr>
              <w:t>Block tax-adjusted result and allow operational break-even only with warning.</w:t>
            </w:r>
          </w:p>
        </w:tc>
      </w:tr>
      <w:tr>
        <w:tc>
          <w:tcPr>
            <w:tcW w:type="dxa" w:w="3168"/>
            <w:vAlign w:val="top"/>
          </w:tcPr>
          <w:p>
            <w:r>
              <w:rPr>
                <w:sz w:val="17"/>
              </w:rPr>
            </w:r>
            <w:r>
              <w:rPr>
                <w:b w:val="0"/>
                <w:sz w:val="17"/>
              </w:rPr>
              <w:t>Non-EUR country</w:t>
            </w:r>
          </w:p>
        </w:tc>
        <w:tc>
          <w:tcPr>
            <w:tcW w:type="dxa" w:w="7488"/>
            <w:vAlign w:val="top"/>
          </w:tcPr>
          <w:p>
            <w:r>
              <w:rPr>
                <w:sz w:val="17"/>
              </w:rPr>
            </w:r>
            <w:r>
              <w:rPr>
                <w:b w:val="0"/>
                <w:sz w:val="17"/>
              </w:rPr>
              <w:t>Show currency and FX warning. v1 can store local currency but reporting baseline should be explicit.</w:t>
            </w:r>
          </w:p>
        </w:tc>
      </w:tr>
      <w:tr>
        <w:tc>
          <w:tcPr>
            <w:tcW w:type="dxa" w:w="3168"/>
            <w:vAlign w:val="top"/>
          </w:tcPr>
          <w:p>
            <w:r>
              <w:rPr>
                <w:sz w:val="17"/>
              </w:rPr>
            </w:r>
            <w:r>
              <w:rPr>
                <w:b w:val="0"/>
                <w:sz w:val="17"/>
              </w:rPr>
              <w:t>Subcontractor model</w:t>
            </w:r>
          </w:p>
        </w:tc>
        <w:tc>
          <w:tcPr>
            <w:tcW w:type="dxa" w:w="7488"/>
            <w:vAlign w:val="top"/>
          </w:tcPr>
          <w:p>
            <w:r>
              <w:rPr>
                <w:sz w:val="17"/>
              </w:rPr>
            </w:r>
            <w:r>
              <w:rPr>
                <w:b w:val="0"/>
                <w:sz w:val="17"/>
              </w:rPr>
              <w:t>Allow driver salary cost to be zero if cost is represented as subcontractor annual cost in structural or variable cost.</w:t>
            </w:r>
          </w:p>
        </w:tc>
      </w:tr>
      <w:tr>
        <w:tc>
          <w:tcPr>
            <w:tcW w:type="dxa" w:w="3168"/>
            <w:vAlign w:val="top"/>
          </w:tcPr>
          <w:p>
            <w:r>
              <w:rPr>
                <w:sz w:val="17"/>
              </w:rPr>
            </w:r>
            <w:r>
              <w:rPr>
                <w:b w:val="0"/>
                <w:sz w:val="17"/>
              </w:rPr>
              <w:t>Vehicle tax unknown</w:t>
            </w:r>
          </w:p>
        </w:tc>
        <w:tc>
          <w:tcPr>
            <w:tcW w:type="dxa" w:w="7488"/>
            <w:vAlign w:val="top"/>
          </w:tcPr>
          <w:p>
            <w:r>
              <w:rPr>
                <w:sz w:val="17"/>
              </w:rPr>
            </w:r>
            <w:r>
              <w:rPr>
                <w:b w:val="0"/>
                <w:sz w:val="17"/>
              </w:rPr>
              <w:t>Use default as warning-level assumption and allow manual scenario override.</w:t>
            </w:r>
          </w:p>
        </w:tc>
      </w:tr>
      <w:tr>
        <w:tc>
          <w:tcPr>
            <w:tcW w:type="dxa" w:w="3168"/>
            <w:vAlign w:val="top"/>
          </w:tcPr>
          <w:p>
            <w:r>
              <w:rPr>
                <w:sz w:val="17"/>
              </w:rPr>
            </w:r>
            <w:r>
              <w:rPr>
                <w:b w:val="0"/>
                <w:sz w:val="17"/>
              </w:rPr>
              <w:t>Historical tax update</w:t>
            </w:r>
          </w:p>
        </w:tc>
        <w:tc>
          <w:tcPr>
            <w:tcW w:type="dxa" w:w="7488"/>
            <w:vAlign w:val="top"/>
          </w:tcPr>
          <w:p>
            <w:r>
              <w:rPr>
                <w:sz w:val="17"/>
              </w:rPr>
            </w:r>
            <w:r>
              <w:rPr>
                <w:b w:val="0"/>
                <w:sz w:val="17"/>
              </w:rPr>
              <w:t>Do not recalculate old saved runs silently. Show run tax snapshot.</w:t>
            </w:r>
          </w:p>
        </w:tc>
      </w:tr>
    </w:tbl>
    <w:p>
      <w:pPr>
        <w:pStyle w:val="Heading1"/>
      </w:pPr>
      <w:r>
        <w:t>19. Technical Architecture and Stack</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16"/>
            <w:vAlign w:val="top"/>
            <w:shd w:fill="0F766E"/>
          </w:tcPr>
          <w:p>
            <w:r>
              <w:rPr>
                <w:b/>
                <w:color w:val="FFFFFF"/>
                <w:sz w:val="17"/>
              </w:rPr>
            </w:r>
            <w:r>
              <w:rPr>
                <w:b/>
                <w:color w:val="FFFFFF"/>
                <w:sz w:val="17"/>
              </w:rPr>
              <w:t>Layer</w:t>
            </w:r>
          </w:p>
        </w:tc>
        <w:tc>
          <w:tcPr>
            <w:tcW w:type="dxa" w:w="3312"/>
            <w:vAlign w:val="top"/>
            <w:shd w:fill="0F766E"/>
          </w:tcPr>
          <w:p>
            <w:r>
              <w:rPr>
                <w:b/>
                <w:color w:val="FFFFFF"/>
                <w:sz w:val="17"/>
              </w:rPr>
            </w:r>
            <w:r>
              <w:rPr>
                <w:b/>
                <w:color w:val="FFFFFF"/>
                <w:sz w:val="17"/>
              </w:rPr>
              <w:t>Recommended technology</w:t>
            </w:r>
          </w:p>
        </w:tc>
        <w:tc>
          <w:tcPr>
            <w:tcW w:type="dxa" w:w="5328"/>
            <w:vAlign w:val="top"/>
            <w:shd w:fill="0F766E"/>
          </w:tcPr>
          <w:p>
            <w:r>
              <w:rPr>
                <w:b/>
                <w:color w:val="FFFFFF"/>
                <w:sz w:val="17"/>
              </w:rPr>
            </w:r>
            <w:r>
              <w:rPr>
                <w:b/>
                <w:color w:val="FFFFFF"/>
                <w:sz w:val="17"/>
              </w:rPr>
              <w:t>Reason</w:t>
            </w:r>
          </w:p>
        </w:tc>
      </w:tr>
      <w:tr>
        <w:tc>
          <w:tcPr>
            <w:tcW w:type="dxa" w:w="2016"/>
            <w:vAlign w:val="top"/>
          </w:tcPr>
          <w:p>
            <w:r>
              <w:rPr>
                <w:sz w:val="17"/>
              </w:rPr>
            </w:r>
            <w:r>
              <w:rPr>
                <w:b w:val="0"/>
                <w:sz w:val="17"/>
              </w:rPr>
              <w:t>Frontend</w:t>
            </w:r>
          </w:p>
        </w:tc>
        <w:tc>
          <w:tcPr>
            <w:tcW w:type="dxa" w:w="3312"/>
            <w:vAlign w:val="top"/>
          </w:tcPr>
          <w:p>
            <w:r>
              <w:rPr>
                <w:sz w:val="17"/>
              </w:rPr>
            </w:r>
            <w:r>
              <w:rPr>
                <w:b w:val="0"/>
                <w:sz w:val="17"/>
              </w:rPr>
              <w:t>React + Vite + TypeScript</w:t>
            </w:r>
          </w:p>
        </w:tc>
        <w:tc>
          <w:tcPr>
            <w:tcW w:type="dxa" w:w="5328"/>
            <w:vAlign w:val="top"/>
          </w:tcPr>
          <w:p>
            <w:r>
              <w:rPr>
                <w:sz w:val="17"/>
              </w:rPr>
            </w:r>
            <w:r>
              <w:rPr>
                <w:b w:val="0"/>
                <w:sz w:val="17"/>
              </w:rPr>
              <w:t>Fast form-heavy dashboard development with typed UI contracts.</w:t>
            </w:r>
          </w:p>
        </w:tc>
      </w:tr>
      <w:tr>
        <w:tc>
          <w:tcPr>
            <w:tcW w:type="dxa" w:w="2016"/>
            <w:vAlign w:val="top"/>
          </w:tcPr>
          <w:p>
            <w:r>
              <w:rPr>
                <w:sz w:val="17"/>
              </w:rPr>
            </w:r>
            <w:r>
              <w:rPr>
                <w:b w:val="0"/>
                <w:sz w:val="17"/>
              </w:rPr>
              <w:t>Backend</w:t>
            </w:r>
          </w:p>
        </w:tc>
        <w:tc>
          <w:tcPr>
            <w:tcW w:type="dxa" w:w="3312"/>
            <w:vAlign w:val="top"/>
          </w:tcPr>
          <w:p>
            <w:r>
              <w:rPr>
                <w:sz w:val="17"/>
              </w:rPr>
            </w:r>
            <w:r>
              <w:rPr>
                <w:b w:val="0"/>
                <w:sz w:val="17"/>
              </w:rPr>
              <w:t>Node.js + Express + TypeScript</w:t>
            </w:r>
          </w:p>
        </w:tc>
        <w:tc>
          <w:tcPr>
            <w:tcW w:type="dxa" w:w="5328"/>
            <w:vAlign w:val="top"/>
          </w:tcPr>
          <w:p>
            <w:r>
              <w:rPr>
                <w:sz w:val="17"/>
              </w:rPr>
            </w:r>
            <w:r>
              <w:rPr>
                <w:b w:val="0"/>
                <w:sz w:val="17"/>
              </w:rPr>
              <w:t>Simple API layer, calculation engine services and Render-friendly deployment.</w:t>
            </w:r>
          </w:p>
        </w:tc>
      </w:tr>
      <w:tr>
        <w:tc>
          <w:tcPr>
            <w:tcW w:type="dxa" w:w="2016"/>
            <w:vAlign w:val="top"/>
          </w:tcPr>
          <w:p>
            <w:r>
              <w:rPr>
                <w:sz w:val="17"/>
              </w:rPr>
            </w:r>
            <w:r>
              <w:rPr>
                <w:b w:val="0"/>
                <w:sz w:val="17"/>
              </w:rPr>
              <w:t>Database</w:t>
            </w:r>
          </w:p>
        </w:tc>
        <w:tc>
          <w:tcPr>
            <w:tcW w:type="dxa" w:w="3312"/>
            <w:vAlign w:val="top"/>
          </w:tcPr>
          <w:p>
            <w:r>
              <w:rPr>
                <w:sz w:val="17"/>
              </w:rPr>
            </w:r>
            <w:r>
              <w:rPr>
                <w:b w:val="0"/>
                <w:sz w:val="17"/>
              </w:rPr>
              <w:t>PostgreSQL</w:t>
            </w:r>
          </w:p>
        </w:tc>
        <w:tc>
          <w:tcPr>
            <w:tcW w:type="dxa" w:w="5328"/>
            <w:vAlign w:val="top"/>
          </w:tcPr>
          <w:p>
            <w:r>
              <w:rPr>
                <w:sz w:val="17"/>
              </w:rPr>
            </w:r>
            <w:r>
              <w:rPr>
                <w:b w:val="0"/>
                <w:sz w:val="17"/>
              </w:rPr>
              <w:t>Relational model for tax rules, vehicles, runs and results.</w:t>
            </w:r>
          </w:p>
        </w:tc>
      </w:tr>
      <w:tr>
        <w:tc>
          <w:tcPr>
            <w:tcW w:type="dxa" w:w="2016"/>
            <w:vAlign w:val="top"/>
          </w:tcPr>
          <w:p>
            <w:r>
              <w:rPr>
                <w:sz w:val="17"/>
              </w:rPr>
            </w:r>
            <w:r>
              <w:rPr>
                <w:b w:val="0"/>
                <w:sz w:val="17"/>
              </w:rPr>
              <w:t>ORM</w:t>
            </w:r>
          </w:p>
        </w:tc>
        <w:tc>
          <w:tcPr>
            <w:tcW w:type="dxa" w:w="3312"/>
            <w:vAlign w:val="top"/>
          </w:tcPr>
          <w:p>
            <w:r>
              <w:rPr>
                <w:sz w:val="17"/>
              </w:rPr>
            </w:r>
            <w:r>
              <w:rPr>
                <w:b w:val="0"/>
                <w:sz w:val="17"/>
              </w:rPr>
              <w:t>Prisma</w:t>
            </w:r>
          </w:p>
        </w:tc>
        <w:tc>
          <w:tcPr>
            <w:tcW w:type="dxa" w:w="5328"/>
            <w:vAlign w:val="top"/>
          </w:tcPr>
          <w:p>
            <w:r>
              <w:rPr>
                <w:sz w:val="17"/>
              </w:rPr>
            </w:r>
            <w:r>
              <w:rPr>
                <w:b w:val="0"/>
                <w:sz w:val="17"/>
              </w:rPr>
              <w:t>Typed models, migrations and safe database access.</w:t>
            </w:r>
          </w:p>
        </w:tc>
      </w:tr>
      <w:tr>
        <w:tc>
          <w:tcPr>
            <w:tcW w:type="dxa" w:w="2016"/>
            <w:vAlign w:val="top"/>
          </w:tcPr>
          <w:p>
            <w:r>
              <w:rPr>
                <w:sz w:val="17"/>
              </w:rPr>
            </w:r>
            <w:r>
              <w:rPr>
                <w:b w:val="0"/>
                <w:sz w:val="17"/>
              </w:rPr>
              <w:t>Validation</w:t>
            </w:r>
          </w:p>
        </w:tc>
        <w:tc>
          <w:tcPr>
            <w:tcW w:type="dxa" w:w="3312"/>
            <w:vAlign w:val="top"/>
          </w:tcPr>
          <w:p>
            <w:r>
              <w:rPr>
                <w:sz w:val="17"/>
              </w:rPr>
            </w:r>
            <w:r>
              <w:rPr>
                <w:b w:val="0"/>
                <w:sz w:val="17"/>
              </w:rPr>
              <w:t>Zod</w:t>
            </w:r>
          </w:p>
        </w:tc>
        <w:tc>
          <w:tcPr>
            <w:tcW w:type="dxa" w:w="5328"/>
            <w:vAlign w:val="top"/>
          </w:tcPr>
          <w:p>
            <w:r>
              <w:rPr>
                <w:sz w:val="17"/>
              </w:rPr>
            </w:r>
            <w:r>
              <w:rPr>
                <w:b w:val="0"/>
                <w:sz w:val="17"/>
              </w:rPr>
              <w:t>Typed input validation and consistent API error handling.</w:t>
            </w:r>
          </w:p>
        </w:tc>
      </w:tr>
      <w:tr>
        <w:tc>
          <w:tcPr>
            <w:tcW w:type="dxa" w:w="2016"/>
            <w:vAlign w:val="top"/>
          </w:tcPr>
          <w:p>
            <w:r>
              <w:rPr>
                <w:sz w:val="17"/>
              </w:rPr>
            </w:r>
            <w:r>
              <w:rPr>
                <w:b w:val="0"/>
                <w:sz w:val="17"/>
              </w:rPr>
              <w:t>Charts</w:t>
            </w:r>
          </w:p>
        </w:tc>
        <w:tc>
          <w:tcPr>
            <w:tcW w:type="dxa" w:w="3312"/>
            <w:vAlign w:val="top"/>
          </w:tcPr>
          <w:p>
            <w:r>
              <w:rPr>
                <w:sz w:val="17"/>
              </w:rPr>
            </w:r>
            <w:r>
              <w:rPr>
                <w:b w:val="0"/>
                <w:sz w:val="17"/>
              </w:rPr>
              <w:t>Recharts or similar React chart library</w:t>
            </w:r>
          </w:p>
        </w:tc>
        <w:tc>
          <w:tcPr>
            <w:tcW w:type="dxa" w:w="5328"/>
            <w:vAlign w:val="top"/>
          </w:tcPr>
          <w:p>
            <w:r>
              <w:rPr>
                <w:sz w:val="17"/>
              </w:rPr>
            </w:r>
            <w:r>
              <w:rPr>
                <w:b w:val="0"/>
                <w:sz w:val="17"/>
              </w:rPr>
              <w:t>Sensitivity and trend visualisation.</w:t>
            </w:r>
          </w:p>
        </w:tc>
      </w:tr>
      <w:tr>
        <w:tc>
          <w:tcPr>
            <w:tcW w:type="dxa" w:w="2016"/>
            <w:vAlign w:val="top"/>
          </w:tcPr>
          <w:p>
            <w:r>
              <w:rPr>
                <w:sz w:val="17"/>
              </w:rPr>
            </w:r>
            <w:r>
              <w:rPr>
                <w:b w:val="0"/>
                <w:sz w:val="17"/>
              </w:rPr>
              <w:t>Deployment</w:t>
            </w:r>
          </w:p>
        </w:tc>
        <w:tc>
          <w:tcPr>
            <w:tcW w:type="dxa" w:w="3312"/>
            <w:vAlign w:val="top"/>
          </w:tcPr>
          <w:p>
            <w:r>
              <w:rPr>
                <w:sz w:val="17"/>
              </w:rPr>
            </w:r>
            <w:r>
              <w:rPr>
                <w:b w:val="0"/>
                <w:sz w:val="17"/>
              </w:rPr>
              <w:t>Render</w:t>
            </w:r>
          </w:p>
        </w:tc>
        <w:tc>
          <w:tcPr>
            <w:tcW w:type="dxa" w:w="5328"/>
            <w:vAlign w:val="top"/>
          </w:tcPr>
          <w:p>
            <w:r>
              <w:rPr>
                <w:sz w:val="17"/>
              </w:rPr>
            </w:r>
            <w:r>
              <w:rPr>
                <w:b w:val="0"/>
                <w:sz w:val="17"/>
              </w:rPr>
              <w:t>Matches existing deployment workflow and supports frontend, backend and Postgres.</w:t>
            </w:r>
          </w:p>
        </w:tc>
      </w:tr>
      <w:tr>
        <w:tc>
          <w:tcPr>
            <w:tcW w:type="dxa" w:w="2016"/>
            <w:vAlign w:val="top"/>
          </w:tcPr>
          <w:p>
            <w:r>
              <w:rPr>
                <w:sz w:val="17"/>
              </w:rPr>
            </w:r>
            <w:r>
              <w:rPr>
                <w:b w:val="0"/>
                <w:sz w:val="17"/>
              </w:rPr>
              <w:t>Repository</w:t>
            </w:r>
          </w:p>
        </w:tc>
        <w:tc>
          <w:tcPr>
            <w:tcW w:type="dxa" w:w="3312"/>
            <w:vAlign w:val="top"/>
          </w:tcPr>
          <w:p>
            <w:r>
              <w:rPr>
                <w:sz w:val="17"/>
              </w:rPr>
            </w:r>
            <w:r>
              <w:rPr>
                <w:b w:val="0"/>
                <w:sz w:val="17"/>
              </w:rPr>
              <w:t>GitHub</w:t>
            </w:r>
          </w:p>
        </w:tc>
        <w:tc>
          <w:tcPr>
            <w:tcW w:type="dxa" w:w="5328"/>
            <w:vAlign w:val="top"/>
          </w:tcPr>
          <w:p>
            <w:r>
              <w:rPr>
                <w:sz w:val="17"/>
              </w:rPr>
            </w:r>
            <w:r>
              <w:rPr>
                <w:b w:val="0"/>
                <w:sz w:val="17"/>
              </w:rPr>
              <w:t>Version control, deployment integration and sprint traceability.</w:t>
            </w:r>
          </w:p>
        </w:tc>
      </w:tr>
    </w:tbl>
    <w:p>
      <w:pPr>
        <w:pStyle w:val="Heading2"/>
      </w:pPr>
      <w:r>
        <w:t>19.1 Backend Folder Structure</w:t>
      </w:r>
    </w:p>
    <w:p>
      <w:pPr>
        <w:pStyle w:val="CodeBlock"/>
      </w:pPr>
      <w:r>
        <w:rPr>
          <w:rFonts w:ascii="Courier New" w:hAnsi="Courier New" w:eastAsia="Courier New"/>
          <w:sz w:val="16"/>
        </w:rPr>
        <w:t>backend/</w:t>
      </w:r>
    </w:p>
    <w:p>
      <w:pPr>
        <w:pStyle w:val="CodeBlock"/>
      </w:pPr>
      <w:r>
        <w:rPr>
          <w:rFonts w:ascii="Courier New" w:hAnsi="Courier New" w:eastAsia="Courier New"/>
          <w:sz w:val="16"/>
        </w:rPr>
        <w:t xml:space="preserve">  src/</w:t>
      </w:r>
    </w:p>
    <w:p>
      <w:pPr>
        <w:pStyle w:val="CodeBlock"/>
      </w:pPr>
      <w:r>
        <w:rPr>
          <w:rFonts w:ascii="Courier New" w:hAnsi="Courier New" w:eastAsia="Courier New"/>
          <w:sz w:val="16"/>
        </w:rPr>
        <w:t xml:space="preserve">    server.ts</w:t>
      </w:r>
    </w:p>
    <w:p>
      <w:pPr>
        <w:pStyle w:val="CodeBlock"/>
      </w:pPr>
      <w:r>
        <w:rPr>
          <w:rFonts w:ascii="Courier New" w:hAnsi="Courier New" w:eastAsia="Courier New"/>
          <w:sz w:val="16"/>
        </w:rPr>
        <w:t xml:space="preserve">    app.ts</w:t>
      </w:r>
    </w:p>
    <w:p>
      <w:pPr>
        <w:pStyle w:val="CodeBlock"/>
      </w:pPr>
      <w:r>
        <w:rPr>
          <w:rFonts w:ascii="Courier New" w:hAnsi="Courier New" w:eastAsia="Courier New"/>
          <w:sz w:val="16"/>
        </w:rPr>
        <w:t xml:space="preserve">    db.ts</w:t>
      </w:r>
    </w:p>
    <w:p>
      <w:pPr>
        <w:pStyle w:val="CodeBlock"/>
      </w:pPr>
      <w:r>
        <w:rPr>
          <w:rFonts w:ascii="Courier New" w:hAnsi="Courier New" w:eastAsia="Courier New"/>
          <w:sz w:val="16"/>
        </w:rPr>
        <w:t xml:space="preserve">    routes/</w:t>
      </w:r>
    </w:p>
    <w:p>
      <w:pPr>
        <w:pStyle w:val="CodeBlock"/>
      </w:pPr>
      <w:r>
        <w:rPr>
          <w:rFonts w:ascii="Courier New" w:hAnsi="Courier New" w:eastAsia="Courier New"/>
          <w:sz w:val="16"/>
        </w:rPr>
        <w:t xml:space="preserve">      referenceRoutes.ts</w:t>
      </w:r>
    </w:p>
    <w:p>
      <w:pPr>
        <w:pStyle w:val="CodeBlock"/>
      </w:pPr>
      <w:r>
        <w:rPr>
          <w:rFonts w:ascii="Courier New" w:hAnsi="Courier New" w:eastAsia="Courier New"/>
          <w:sz w:val="16"/>
        </w:rPr>
        <w:t xml:space="preserve">      taxProfileRoutes.ts</w:t>
      </w:r>
    </w:p>
    <w:p>
      <w:pPr>
        <w:pStyle w:val="CodeBlock"/>
      </w:pPr>
      <w:r>
        <w:rPr>
          <w:rFonts w:ascii="Courier New" w:hAnsi="Courier New" w:eastAsia="Courier New"/>
          <w:sz w:val="16"/>
        </w:rPr>
        <w:t xml:space="preserve">      calculationRoutes.ts</w:t>
      </w:r>
    </w:p>
    <w:p>
      <w:pPr>
        <w:pStyle w:val="CodeBlock"/>
      </w:pPr>
      <w:r>
        <w:rPr>
          <w:rFonts w:ascii="Courier New" w:hAnsi="Courier New" w:eastAsia="Courier New"/>
          <w:sz w:val="16"/>
        </w:rPr>
        <w:t xml:space="preserve">      pricingScenarioRoutes.ts</w:t>
      </w:r>
    </w:p>
    <w:p>
      <w:pPr>
        <w:pStyle w:val="CodeBlock"/>
      </w:pPr>
      <w:r>
        <w:rPr>
          <w:rFonts w:ascii="Courier New" w:hAnsi="Courier New" w:eastAsia="Courier New"/>
          <w:sz w:val="16"/>
        </w:rPr>
        <w:t xml:space="preserve">      sensitivityRoutes.ts</w:t>
      </w:r>
    </w:p>
    <w:p>
      <w:pPr>
        <w:pStyle w:val="CodeBlock"/>
      </w:pPr>
      <w:r>
        <w:rPr>
          <w:rFonts w:ascii="Courier New" w:hAnsi="Courier New" w:eastAsia="Courier New"/>
          <w:sz w:val="16"/>
        </w:rPr>
        <w:t xml:space="preserve">    services/</w:t>
      </w:r>
    </w:p>
    <w:p>
      <w:pPr>
        <w:pStyle w:val="CodeBlock"/>
      </w:pPr>
      <w:r>
        <w:rPr>
          <w:rFonts w:ascii="Courier New" w:hAnsi="Courier New" w:eastAsia="Courier New"/>
          <w:sz w:val="16"/>
        </w:rPr>
        <w:t xml:space="preserve">      calculationEngine.ts</w:t>
      </w:r>
    </w:p>
    <w:p>
      <w:pPr>
        <w:pStyle w:val="CodeBlock"/>
      </w:pPr>
      <w:r>
        <w:rPr>
          <w:rFonts w:ascii="Courier New" w:hAnsi="Courier New" w:eastAsia="Courier New"/>
          <w:sz w:val="16"/>
        </w:rPr>
        <w:t xml:space="preserve">      taxProfileService.ts</w:t>
      </w:r>
    </w:p>
    <w:p>
      <w:pPr>
        <w:pStyle w:val="CodeBlock"/>
      </w:pPr>
      <w:r>
        <w:rPr>
          <w:rFonts w:ascii="Courier New" w:hAnsi="Courier New" w:eastAsia="Courier New"/>
          <w:sz w:val="16"/>
        </w:rPr>
        <w:t xml:space="preserve">      pricingScenarioEngine.ts</w:t>
      </w:r>
    </w:p>
    <w:p>
      <w:pPr>
        <w:pStyle w:val="CodeBlock"/>
      </w:pPr>
      <w:r>
        <w:rPr>
          <w:rFonts w:ascii="Courier New" w:hAnsi="Courier New" w:eastAsia="Courier New"/>
          <w:sz w:val="16"/>
        </w:rPr>
        <w:t xml:space="preserve">      sensitivityEngine.ts</w:t>
      </w:r>
    </w:p>
    <w:p>
      <w:pPr>
        <w:pStyle w:val="CodeBlock"/>
      </w:pPr>
      <w:r>
        <w:rPr>
          <w:rFonts w:ascii="Courier New" w:hAnsi="Courier New" w:eastAsia="Courier New"/>
          <w:sz w:val="16"/>
        </w:rPr>
        <w:t xml:space="preserve">    repositories/</w:t>
      </w:r>
    </w:p>
    <w:p>
      <w:pPr>
        <w:pStyle w:val="CodeBlock"/>
      </w:pPr>
      <w:r>
        <w:rPr>
          <w:rFonts w:ascii="Courier New" w:hAnsi="Courier New" w:eastAsia="Courier New"/>
          <w:sz w:val="16"/>
        </w:rPr>
        <w:t xml:space="preserve">      referenceRepository.ts</w:t>
      </w:r>
    </w:p>
    <w:p>
      <w:pPr>
        <w:pStyle w:val="CodeBlock"/>
      </w:pPr>
      <w:r>
        <w:rPr>
          <w:rFonts w:ascii="Courier New" w:hAnsi="Courier New" w:eastAsia="Courier New"/>
          <w:sz w:val="16"/>
        </w:rPr>
        <w:t xml:space="preserve">      taxRulesRepository.ts</w:t>
      </w:r>
    </w:p>
    <w:p>
      <w:pPr>
        <w:pStyle w:val="CodeBlock"/>
      </w:pPr>
      <w:r>
        <w:rPr>
          <w:rFonts w:ascii="Courier New" w:hAnsi="Courier New" w:eastAsia="Courier New"/>
          <w:sz w:val="16"/>
        </w:rPr>
        <w:t xml:space="preserve">      calculationRepository.ts</w:t>
      </w:r>
    </w:p>
    <w:p>
      <w:pPr>
        <w:pStyle w:val="CodeBlock"/>
      </w:pPr>
      <w:r>
        <w:rPr>
          <w:rFonts w:ascii="Courier New" w:hAnsi="Courier New" w:eastAsia="Courier New"/>
          <w:sz w:val="16"/>
        </w:rPr>
        <w:t xml:space="preserve">    schemas/</w:t>
      </w:r>
    </w:p>
    <w:p>
      <w:pPr>
        <w:pStyle w:val="CodeBlock"/>
      </w:pPr>
      <w:r>
        <w:rPr>
          <w:rFonts w:ascii="Courier New" w:hAnsi="Courier New" w:eastAsia="Courier New"/>
          <w:sz w:val="16"/>
        </w:rPr>
        <w:t xml:space="preserve">      calculationSchemas.ts</w:t>
      </w:r>
    </w:p>
    <w:p>
      <w:pPr>
        <w:pStyle w:val="CodeBlock"/>
      </w:pPr>
      <w:r>
        <w:rPr>
          <w:rFonts w:ascii="Courier New" w:hAnsi="Courier New" w:eastAsia="Courier New"/>
          <w:sz w:val="16"/>
        </w:rPr>
        <w:t xml:space="preserve">      taxProfileSchemas.ts</w:t>
      </w:r>
    </w:p>
    <w:p>
      <w:pPr>
        <w:pStyle w:val="CodeBlock"/>
      </w:pPr>
      <w:r>
        <w:rPr>
          <w:rFonts w:ascii="Courier New" w:hAnsi="Courier New" w:eastAsia="Courier New"/>
          <w:sz w:val="16"/>
        </w:rPr>
        <w:t xml:space="preserve">    utils/</w:t>
      </w:r>
    </w:p>
    <w:p>
      <w:pPr>
        <w:pStyle w:val="CodeBlock"/>
      </w:pPr>
      <w:r>
        <w:rPr>
          <w:rFonts w:ascii="Courier New" w:hAnsi="Courier New" w:eastAsia="Courier New"/>
          <w:sz w:val="16"/>
        </w:rPr>
        <w:t xml:space="preserve">      numberUtils.ts</w:t>
      </w:r>
    </w:p>
    <w:p>
      <w:pPr>
        <w:pStyle w:val="CodeBlock"/>
      </w:pPr>
      <w:r>
        <w:rPr>
          <w:rFonts w:ascii="Courier New" w:hAnsi="Courier New" w:eastAsia="Courier New"/>
          <w:sz w:val="16"/>
        </w:rPr>
        <w:t xml:space="preserve">  prisma/</w:t>
      </w:r>
    </w:p>
    <w:p>
      <w:pPr>
        <w:pStyle w:val="CodeBlock"/>
      </w:pPr>
      <w:r>
        <w:rPr>
          <w:rFonts w:ascii="Courier New" w:hAnsi="Courier New" w:eastAsia="Courier New"/>
          <w:sz w:val="16"/>
        </w:rPr>
        <w:t xml:space="preserve">    schema.prisma</w:t>
      </w:r>
    </w:p>
    <w:p>
      <w:pPr>
        <w:pStyle w:val="CodeBlock"/>
      </w:pPr>
      <w:r>
        <w:rPr>
          <w:rFonts w:ascii="Courier New" w:hAnsi="Courier New" w:eastAsia="Courier New"/>
          <w:sz w:val="16"/>
        </w:rPr>
        <w:t xml:space="preserve">    migrations/</w:t>
      </w:r>
    </w:p>
    <w:p>
      <w:pPr>
        <w:pStyle w:val="CodeBlock"/>
      </w:pPr>
      <w:r>
        <w:rPr>
          <w:rFonts w:ascii="Courier New" w:hAnsi="Courier New" w:eastAsia="Courier New"/>
          <w:sz w:val="16"/>
        </w:rPr>
        <w:t xml:space="preserve">  tests/</w:t>
      </w:r>
    </w:p>
    <w:p>
      <w:pPr>
        <w:pStyle w:val="CodeBlock"/>
      </w:pPr>
      <w:r>
        <w:rPr>
          <w:rFonts w:ascii="Courier New" w:hAnsi="Courier New" w:eastAsia="Courier New"/>
          <w:sz w:val="16"/>
        </w:rPr>
        <w:t xml:space="preserve">    calculationEngine.test.ts</w:t>
      </w:r>
    </w:p>
    <w:p>
      <w:pPr>
        <w:pStyle w:val="Heading2"/>
      </w:pPr>
      <w:r>
        <w:t>19.2 Frontend Folder Structure</w:t>
      </w:r>
    </w:p>
    <w:p>
      <w:pPr>
        <w:pStyle w:val="CodeBlock"/>
      </w:pPr>
      <w:r>
        <w:rPr>
          <w:rFonts w:ascii="Courier New" w:hAnsi="Courier New" w:eastAsia="Courier New"/>
          <w:sz w:val="16"/>
        </w:rPr>
        <w:t>frontend/</w:t>
      </w:r>
    </w:p>
    <w:p>
      <w:pPr>
        <w:pStyle w:val="CodeBlock"/>
      </w:pPr>
      <w:r>
        <w:rPr>
          <w:rFonts w:ascii="Courier New" w:hAnsi="Courier New" w:eastAsia="Courier New"/>
          <w:sz w:val="16"/>
        </w:rPr>
        <w:t xml:space="preserve">  src/</w:t>
      </w:r>
    </w:p>
    <w:p>
      <w:pPr>
        <w:pStyle w:val="CodeBlock"/>
      </w:pPr>
      <w:r>
        <w:rPr>
          <w:rFonts w:ascii="Courier New" w:hAnsi="Courier New" w:eastAsia="Courier New"/>
          <w:sz w:val="16"/>
        </w:rPr>
        <w:t xml:space="preserve">    App.tsx</w:t>
      </w:r>
    </w:p>
    <w:p>
      <w:pPr>
        <w:pStyle w:val="CodeBlock"/>
      </w:pPr>
      <w:r>
        <w:rPr>
          <w:rFonts w:ascii="Courier New" w:hAnsi="Courier New" w:eastAsia="Courier New"/>
          <w:sz w:val="16"/>
        </w:rPr>
        <w:t xml:space="preserve">    main.tsx</w:t>
      </w:r>
    </w:p>
    <w:p>
      <w:pPr>
        <w:pStyle w:val="CodeBlock"/>
      </w:pPr>
      <w:r>
        <w:rPr>
          <w:rFonts w:ascii="Courier New" w:hAnsi="Courier New" w:eastAsia="Courier New"/>
          <w:sz w:val="16"/>
        </w:rPr>
        <w:t xml:space="preserve">    api/</w:t>
      </w:r>
    </w:p>
    <w:p>
      <w:pPr>
        <w:pStyle w:val="CodeBlock"/>
      </w:pPr>
      <w:r>
        <w:rPr>
          <w:rFonts w:ascii="Courier New" w:hAnsi="Courier New" w:eastAsia="Courier New"/>
          <w:sz w:val="16"/>
        </w:rPr>
        <w:t xml:space="preserve">      client.ts</w:t>
      </w:r>
    </w:p>
    <w:p>
      <w:pPr>
        <w:pStyle w:val="CodeBlock"/>
      </w:pPr>
      <w:r>
        <w:rPr>
          <w:rFonts w:ascii="Courier New" w:hAnsi="Courier New" w:eastAsia="Courier New"/>
          <w:sz w:val="16"/>
        </w:rPr>
        <w:t xml:space="preserve">      calculationsApi.ts</w:t>
      </w:r>
    </w:p>
    <w:p>
      <w:pPr>
        <w:pStyle w:val="CodeBlock"/>
      </w:pPr>
      <w:r>
        <w:rPr>
          <w:rFonts w:ascii="Courier New" w:hAnsi="Courier New" w:eastAsia="Courier New"/>
          <w:sz w:val="16"/>
        </w:rPr>
        <w:t xml:space="preserve">      referenceApi.ts</w:t>
      </w:r>
    </w:p>
    <w:p>
      <w:pPr>
        <w:pStyle w:val="CodeBlock"/>
      </w:pPr>
      <w:r>
        <w:rPr>
          <w:rFonts w:ascii="Courier New" w:hAnsi="Courier New" w:eastAsia="Courier New"/>
          <w:sz w:val="16"/>
        </w:rPr>
        <w:t xml:space="preserve">    pages/</w:t>
      </w:r>
    </w:p>
    <w:p>
      <w:pPr>
        <w:pStyle w:val="CodeBlock"/>
      </w:pPr>
      <w:r>
        <w:rPr>
          <w:rFonts w:ascii="Courier New" w:hAnsi="Courier New" w:eastAsia="Courier New"/>
          <w:sz w:val="16"/>
        </w:rPr>
        <w:t xml:space="preserve">      DashboardPage.tsx</w:t>
      </w:r>
    </w:p>
    <w:p>
      <w:pPr>
        <w:pStyle w:val="CodeBlock"/>
      </w:pPr>
      <w:r>
        <w:rPr>
          <w:rFonts w:ascii="Courier New" w:hAnsi="Courier New" w:eastAsia="Courier New"/>
          <w:sz w:val="16"/>
        </w:rPr>
        <w:t xml:space="preserve">      CompanyTaxProfilePage.tsx</w:t>
      </w:r>
    </w:p>
    <w:p>
      <w:pPr>
        <w:pStyle w:val="CodeBlock"/>
      </w:pPr>
      <w:r>
        <w:rPr>
          <w:rFonts w:ascii="Courier New" w:hAnsi="Courier New" w:eastAsia="Courier New"/>
          <w:sz w:val="16"/>
        </w:rPr>
        <w:t xml:space="preserve">      TransportInputsPage.tsx</w:t>
      </w:r>
    </w:p>
    <w:p>
      <w:pPr>
        <w:pStyle w:val="CodeBlock"/>
      </w:pPr>
      <w:r>
        <w:rPr>
          <w:rFonts w:ascii="Courier New" w:hAnsi="Courier New" w:eastAsia="Courier New"/>
          <w:sz w:val="16"/>
        </w:rPr>
        <w:t xml:space="preserve">      BreakEvenResultsPage.tsx</w:t>
      </w:r>
    </w:p>
    <w:p>
      <w:pPr>
        <w:pStyle w:val="CodeBlock"/>
      </w:pPr>
      <w:r>
        <w:rPr>
          <w:rFonts w:ascii="Courier New" w:hAnsi="Courier New" w:eastAsia="Courier New"/>
          <w:sz w:val="16"/>
        </w:rPr>
        <w:t xml:space="preserve">      PricingScenariosPage.tsx</w:t>
      </w:r>
    </w:p>
    <w:p>
      <w:pPr>
        <w:pStyle w:val="CodeBlock"/>
      </w:pPr>
      <w:r>
        <w:rPr>
          <w:rFonts w:ascii="Courier New" w:hAnsi="Courier New" w:eastAsia="Courier New"/>
          <w:sz w:val="16"/>
        </w:rPr>
        <w:t xml:space="preserve">      SensitivityPage.tsx</w:t>
      </w:r>
    </w:p>
    <w:p>
      <w:pPr>
        <w:pStyle w:val="CodeBlock"/>
      </w:pPr>
      <w:r>
        <w:rPr>
          <w:rFonts w:ascii="Courier New" w:hAnsi="Courier New" w:eastAsia="Courier New"/>
          <w:sz w:val="16"/>
        </w:rPr>
        <w:t xml:space="preserve">      VehicleClassesPage.tsx</w:t>
      </w:r>
    </w:p>
    <w:p>
      <w:pPr>
        <w:pStyle w:val="CodeBlock"/>
      </w:pPr>
      <w:r>
        <w:rPr>
          <w:rFonts w:ascii="Courier New" w:hAnsi="Courier New" w:eastAsia="Courier New"/>
          <w:sz w:val="16"/>
        </w:rPr>
        <w:t xml:space="preserve">      HistoryPage.tsx</w:t>
      </w:r>
    </w:p>
    <w:p>
      <w:pPr>
        <w:pStyle w:val="CodeBlock"/>
      </w:pPr>
      <w:r>
        <w:rPr>
          <w:rFonts w:ascii="Courier New" w:hAnsi="Courier New" w:eastAsia="Courier New"/>
          <w:sz w:val="16"/>
        </w:rPr>
        <w:t xml:space="preserve">    components/</w:t>
      </w:r>
    </w:p>
    <w:p>
      <w:pPr>
        <w:pStyle w:val="CodeBlock"/>
      </w:pPr>
      <w:r>
        <w:rPr>
          <w:rFonts w:ascii="Courier New" w:hAnsi="Courier New" w:eastAsia="Courier New"/>
          <w:sz w:val="16"/>
        </w:rPr>
        <w:t xml:space="preserve">      forms/</w:t>
      </w:r>
    </w:p>
    <w:p>
      <w:pPr>
        <w:pStyle w:val="CodeBlock"/>
      </w:pPr>
      <w:r>
        <w:rPr>
          <w:rFonts w:ascii="Courier New" w:hAnsi="Courier New" w:eastAsia="Courier New"/>
          <w:sz w:val="16"/>
        </w:rPr>
        <w:t xml:space="preserve">      charts/</w:t>
      </w:r>
    </w:p>
    <w:p>
      <w:pPr>
        <w:pStyle w:val="CodeBlock"/>
      </w:pPr>
      <w:r>
        <w:rPr>
          <w:rFonts w:ascii="Courier New" w:hAnsi="Courier New" w:eastAsia="Courier New"/>
          <w:sz w:val="16"/>
        </w:rPr>
        <w:t xml:space="preserve">      layout/</w:t>
      </w:r>
    </w:p>
    <w:p>
      <w:pPr>
        <w:pStyle w:val="CodeBlock"/>
      </w:pPr>
      <w:r>
        <w:rPr>
          <w:rFonts w:ascii="Courier New" w:hAnsi="Courier New" w:eastAsia="Courier New"/>
          <w:sz w:val="16"/>
        </w:rPr>
        <w:t xml:space="preserve">      summary/</w:t>
      </w:r>
    </w:p>
    <w:p>
      <w:pPr>
        <w:pStyle w:val="CodeBlock"/>
      </w:pPr>
      <w:r>
        <w:rPr>
          <w:rFonts w:ascii="Courier New" w:hAnsi="Courier New" w:eastAsia="Courier New"/>
          <w:sz w:val="16"/>
        </w:rPr>
        <w:t xml:space="preserve">    state/</w:t>
      </w:r>
    </w:p>
    <w:p>
      <w:pPr>
        <w:pStyle w:val="CodeBlock"/>
      </w:pPr>
      <w:r>
        <w:rPr>
          <w:rFonts w:ascii="Courier New" w:hAnsi="Courier New" w:eastAsia="Courier New"/>
          <w:sz w:val="16"/>
        </w:rPr>
        <w:t xml:space="preserve">      calculationStore.ts</w:t>
      </w:r>
    </w:p>
    <w:p>
      <w:pPr>
        <w:pStyle w:val="CodeBlock"/>
      </w:pPr>
      <w:r>
        <w:rPr>
          <w:rFonts w:ascii="Courier New" w:hAnsi="Courier New" w:eastAsia="Courier New"/>
          <w:sz w:val="16"/>
        </w:rPr>
        <w:t xml:space="preserve">    types/</w:t>
      </w:r>
    </w:p>
    <w:p>
      <w:pPr>
        <w:pStyle w:val="CodeBlock"/>
      </w:pPr>
      <w:r>
        <w:rPr>
          <w:rFonts w:ascii="Courier New" w:hAnsi="Courier New" w:eastAsia="Courier New"/>
          <w:sz w:val="16"/>
        </w:rPr>
        <w:t xml:space="preserve">      calculation.ts</w:t>
      </w:r>
    </w:p>
    <w:p>
      <w:pPr>
        <w:pStyle w:val="CodeBlock"/>
      </w:pPr>
      <w:r>
        <w:rPr>
          <w:rFonts w:ascii="Courier New" w:hAnsi="Courier New" w:eastAsia="Courier New"/>
          <w:sz w:val="16"/>
        </w:rPr>
        <w:t xml:space="preserve">      reference.ts</w:t>
      </w:r>
    </w:p>
    <w:p>
      <w:pPr>
        <w:pStyle w:val="CodeBlock"/>
      </w:pPr>
      <w:r>
        <w:rPr>
          <w:rFonts w:ascii="Courier New" w:hAnsi="Courier New" w:eastAsia="Courier New"/>
          <w:sz w:val="16"/>
        </w:rPr>
        <w:t xml:space="preserve">    utils/</w:t>
      </w:r>
    </w:p>
    <w:p>
      <w:pPr>
        <w:pStyle w:val="CodeBlock"/>
      </w:pPr>
      <w:r>
        <w:rPr>
          <w:rFonts w:ascii="Courier New" w:hAnsi="Courier New" w:eastAsia="Courier New"/>
          <w:sz w:val="16"/>
        </w:rPr>
        <w:t xml:space="preserve">      formatters.ts</w:t>
      </w:r>
    </w:p>
    <w:p>
      <w:pPr>
        <w:pStyle w:val="Heading1"/>
      </w:pPr>
      <w:r>
        <w:t>20. Testing Strategy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0F766E"/>
          </w:tcPr>
          <w:p>
            <w:r>
              <w:rPr>
                <w:b/>
                <w:color w:val="FFFFFF"/>
                <w:sz w:val="17"/>
              </w:rPr>
            </w:r>
            <w:r>
              <w:rPr>
                <w:b/>
                <w:color w:val="FFFFFF"/>
                <w:sz w:val="17"/>
              </w:rPr>
              <w:t>Test layer</w:t>
            </w:r>
          </w:p>
        </w:tc>
        <w:tc>
          <w:tcPr>
            <w:tcW w:type="dxa" w:w="4320"/>
            <w:vAlign w:val="top"/>
            <w:shd w:fill="0F766E"/>
          </w:tcPr>
          <w:p>
            <w:r>
              <w:rPr>
                <w:b/>
                <w:color w:val="FFFFFF"/>
                <w:sz w:val="17"/>
              </w:rPr>
            </w:r>
            <w:r>
              <w:rPr>
                <w:b/>
                <w:color w:val="FFFFFF"/>
                <w:sz w:val="17"/>
              </w:rPr>
              <w:t>Purpose</w:t>
            </w:r>
          </w:p>
        </w:tc>
        <w:tc>
          <w:tcPr>
            <w:tcW w:type="dxa" w:w="3744"/>
            <w:vAlign w:val="top"/>
            <w:shd w:fill="0F766E"/>
          </w:tcPr>
          <w:p>
            <w:r>
              <w:rPr>
                <w:b/>
                <w:color w:val="FFFFFF"/>
                <w:sz w:val="17"/>
              </w:rPr>
            </w:r>
            <w:r>
              <w:rPr>
                <w:b/>
                <w:color w:val="FFFFFF"/>
                <w:sz w:val="17"/>
              </w:rPr>
              <w:t>Acceptance rule</w:t>
            </w:r>
          </w:p>
        </w:tc>
      </w:tr>
      <w:tr>
        <w:tc>
          <w:tcPr>
            <w:tcW w:type="dxa" w:w="2592"/>
            <w:vAlign w:val="top"/>
          </w:tcPr>
          <w:p>
            <w:r>
              <w:rPr>
                <w:sz w:val="17"/>
              </w:rPr>
            </w:r>
            <w:r>
              <w:rPr>
                <w:b w:val="0"/>
                <w:sz w:val="17"/>
              </w:rPr>
              <w:t>Unit tests: calculation engine</w:t>
            </w:r>
          </w:p>
        </w:tc>
        <w:tc>
          <w:tcPr>
            <w:tcW w:type="dxa" w:w="4320"/>
            <w:vAlign w:val="top"/>
          </w:tcPr>
          <w:p>
            <w:r>
              <w:rPr>
                <w:sz w:val="17"/>
              </w:rPr>
            </w:r>
            <w:r>
              <w:rPr>
                <w:b w:val="0"/>
                <w:sz w:val="17"/>
              </w:rPr>
              <w:t>Validate formulas against workbook sample cases.</w:t>
            </w:r>
          </w:p>
        </w:tc>
        <w:tc>
          <w:tcPr>
            <w:tcW w:type="dxa" w:w="3744"/>
            <w:vAlign w:val="top"/>
          </w:tcPr>
          <w:p>
            <w:r>
              <w:rPr>
                <w:sz w:val="17"/>
              </w:rPr>
            </w:r>
            <w:r>
              <w:rPr>
                <w:b w:val="0"/>
                <w:sz w:val="17"/>
              </w:rPr>
              <w:t>Outputs match expected values within agreed tolerance.</w:t>
            </w:r>
          </w:p>
        </w:tc>
      </w:tr>
      <w:tr>
        <w:tc>
          <w:tcPr>
            <w:tcW w:type="dxa" w:w="2592"/>
            <w:vAlign w:val="top"/>
          </w:tcPr>
          <w:p>
            <w:r>
              <w:rPr>
                <w:sz w:val="17"/>
              </w:rPr>
            </w:r>
            <w:r>
              <w:rPr>
                <w:b w:val="0"/>
                <w:sz w:val="17"/>
              </w:rPr>
              <w:t>Unit tests: validation</w:t>
            </w:r>
          </w:p>
        </w:tc>
        <w:tc>
          <w:tcPr>
            <w:tcW w:type="dxa" w:w="4320"/>
            <w:vAlign w:val="top"/>
          </w:tcPr>
          <w:p>
            <w:r>
              <w:rPr>
                <w:sz w:val="17"/>
              </w:rPr>
            </w:r>
            <w:r>
              <w:rPr>
                <w:b w:val="0"/>
                <w:sz w:val="17"/>
              </w:rPr>
              <w:t>Reject impossible or unsafe input values.</w:t>
            </w:r>
          </w:p>
        </w:tc>
        <w:tc>
          <w:tcPr>
            <w:tcW w:type="dxa" w:w="3744"/>
            <w:vAlign w:val="top"/>
          </w:tcPr>
          <w:p>
            <w:r>
              <w:rPr>
                <w:sz w:val="17"/>
              </w:rPr>
            </w:r>
            <w:r>
              <w:rPr>
                <w:b w:val="0"/>
                <w:sz w:val="17"/>
              </w:rPr>
              <w:t>Every invalid field returns a clear field-level error.</w:t>
            </w:r>
          </w:p>
        </w:tc>
      </w:tr>
      <w:tr>
        <w:tc>
          <w:tcPr>
            <w:tcW w:type="dxa" w:w="2592"/>
            <w:vAlign w:val="top"/>
          </w:tcPr>
          <w:p>
            <w:r>
              <w:rPr>
                <w:sz w:val="17"/>
              </w:rPr>
            </w:r>
            <w:r>
              <w:rPr>
                <w:b w:val="0"/>
                <w:sz w:val="17"/>
              </w:rPr>
              <w:t>API tests</w:t>
            </w:r>
          </w:p>
        </w:tc>
        <w:tc>
          <w:tcPr>
            <w:tcW w:type="dxa" w:w="4320"/>
            <w:vAlign w:val="top"/>
          </w:tcPr>
          <w:p>
            <w:r>
              <w:rPr>
                <w:sz w:val="17"/>
              </w:rPr>
            </w:r>
            <w:r>
              <w:rPr>
                <w:b w:val="0"/>
                <w:sz w:val="17"/>
              </w:rPr>
              <w:t>Verify endpoints, payload schemas and error responses.</w:t>
            </w:r>
          </w:p>
        </w:tc>
        <w:tc>
          <w:tcPr>
            <w:tcW w:type="dxa" w:w="3744"/>
            <w:vAlign w:val="top"/>
          </w:tcPr>
          <w:p>
            <w:r>
              <w:rPr>
                <w:sz w:val="17"/>
              </w:rPr>
            </w:r>
            <w:r>
              <w:rPr>
                <w:b w:val="0"/>
                <w:sz w:val="17"/>
              </w:rPr>
              <w:t>Preview, save, history and tax-profile endpoints work.</w:t>
            </w:r>
          </w:p>
        </w:tc>
      </w:tr>
      <w:tr>
        <w:tc>
          <w:tcPr>
            <w:tcW w:type="dxa" w:w="2592"/>
            <w:vAlign w:val="top"/>
          </w:tcPr>
          <w:p>
            <w:r>
              <w:rPr>
                <w:sz w:val="17"/>
              </w:rPr>
            </w:r>
            <w:r>
              <w:rPr>
                <w:b w:val="0"/>
                <w:sz w:val="17"/>
              </w:rPr>
              <w:t>Integration tests</w:t>
            </w:r>
          </w:p>
        </w:tc>
        <w:tc>
          <w:tcPr>
            <w:tcW w:type="dxa" w:w="4320"/>
            <w:vAlign w:val="top"/>
          </w:tcPr>
          <w:p>
            <w:r>
              <w:rPr>
                <w:sz w:val="17"/>
              </w:rPr>
            </w:r>
            <w:r>
              <w:rPr>
                <w:b w:val="0"/>
                <w:sz w:val="17"/>
              </w:rPr>
              <w:t>Country -&gt; company type -&gt; tax profile -&gt; input -&gt; calculation flow.</w:t>
            </w:r>
          </w:p>
        </w:tc>
        <w:tc>
          <w:tcPr>
            <w:tcW w:type="dxa" w:w="3744"/>
            <w:vAlign w:val="top"/>
          </w:tcPr>
          <w:p>
            <w:r>
              <w:rPr>
                <w:sz w:val="17"/>
              </w:rPr>
            </w:r>
            <w:r>
              <w:rPr>
                <w:b w:val="0"/>
                <w:sz w:val="17"/>
              </w:rPr>
              <w:t>Cascade values and engine outputs align.</w:t>
            </w:r>
          </w:p>
        </w:tc>
      </w:tr>
      <w:tr>
        <w:tc>
          <w:tcPr>
            <w:tcW w:type="dxa" w:w="2592"/>
            <w:vAlign w:val="top"/>
          </w:tcPr>
          <w:p>
            <w:r>
              <w:rPr>
                <w:sz w:val="17"/>
              </w:rPr>
            </w:r>
            <w:r>
              <w:rPr>
                <w:b w:val="0"/>
                <w:sz w:val="17"/>
              </w:rPr>
              <w:t>Frontend tests</w:t>
            </w:r>
          </w:p>
        </w:tc>
        <w:tc>
          <w:tcPr>
            <w:tcW w:type="dxa" w:w="4320"/>
            <w:vAlign w:val="top"/>
          </w:tcPr>
          <w:p>
            <w:r>
              <w:rPr>
                <w:sz w:val="17"/>
              </w:rPr>
            </w:r>
            <w:r>
              <w:rPr>
                <w:b w:val="0"/>
                <w:sz w:val="17"/>
              </w:rPr>
              <w:t>Validate user flow and form behaviour.</w:t>
            </w:r>
          </w:p>
        </w:tc>
        <w:tc>
          <w:tcPr>
            <w:tcW w:type="dxa" w:w="3744"/>
            <w:vAlign w:val="top"/>
          </w:tcPr>
          <w:p>
            <w:r>
              <w:rPr>
                <w:sz w:val="17"/>
              </w:rPr>
            </w:r>
            <w:r>
              <w:rPr>
                <w:b w:val="0"/>
                <w:sz w:val="17"/>
              </w:rPr>
              <w:t>User can complete a run without touching computed fields.</w:t>
            </w:r>
          </w:p>
        </w:tc>
      </w:tr>
      <w:tr>
        <w:tc>
          <w:tcPr>
            <w:tcW w:type="dxa" w:w="2592"/>
            <w:vAlign w:val="top"/>
          </w:tcPr>
          <w:p>
            <w:r>
              <w:rPr>
                <w:sz w:val="17"/>
              </w:rPr>
            </w:r>
            <w:r>
              <w:rPr>
                <w:b w:val="0"/>
                <w:sz w:val="17"/>
              </w:rPr>
              <w:t>Regression tests</w:t>
            </w:r>
          </w:p>
        </w:tc>
        <w:tc>
          <w:tcPr>
            <w:tcW w:type="dxa" w:w="4320"/>
            <w:vAlign w:val="top"/>
          </w:tcPr>
          <w:p>
            <w:r>
              <w:rPr>
                <w:sz w:val="17"/>
              </w:rPr>
            </w:r>
            <w:r>
              <w:rPr>
                <w:b w:val="0"/>
                <w:sz w:val="17"/>
              </w:rPr>
              <w:t>Ensure formula changes do not break accepted examples.</w:t>
            </w:r>
          </w:p>
        </w:tc>
        <w:tc>
          <w:tcPr>
            <w:tcW w:type="dxa" w:w="3744"/>
            <w:vAlign w:val="top"/>
          </w:tcPr>
          <w:p>
            <w:r>
              <w:rPr>
                <w:sz w:val="17"/>
              </w:rPr>
            </w:r>
            <w:r>
              <w:rPr>
                <w:b w:val="0"/>
                <w:sz w:val="17"/>
              </w:rPr>
              <w:t>All baseline scenarios remain stable unless intentionally changed.</w:t>
            </w:r>
          </w:p>
        </w:tc>
      </w:tr>
    </w:tbl>
    <w:p>
      <w:pPr>
        <w:pStyle w:val="Heading2"/>
      </w:pPr>
      <w:r>
        <w:t>20.1 Baseline Test Payload</w:t>
      </w:r>
    </w:p>
    <w:p>
      <w:pPr>
        <w:pStyle w:val="CodeBlock"/>
      </w:pPr>
      <w:r>
        <w:rPr>
          <w:rFonts w:ascii="Courier New" w:hAnsi="Courier New" w:eastAsia="Courier New"/>
          <w:sz w:val="16"/>
        </w:rPr>
        <w:t>{</w:t>
      </w:r>
    </w:p>
    <w:p>
      <w:pPr>
        <w:pStyle w:val="CodeBlock"/>
      </w:pPr>
      <w:r>
        <w:rPr>
          <w:rFonts w:ascii="Courier New" w:hAnsi="Courier New" w:eastAsia="Courier New"/>
          <w:sz w:val="16"/>
        </w:rPr>
        <w:t xml:space="preserve">  "dailyKm": 450,</w:t>
      </w:r>
    </w:p>
    <w:p>
      <w:pPr>
        <w:pStyle w:val="CodeBlock"/>
      </w:pPr>
      <w:r>
        <w:rPr>
          <w:rFonts w:ascii="Courier New" w:hAnsi="Courier New" w:eastAsia="Courier New"/>
          <w:sz w:val="16"/>
        </w:rPr>
        <w:t xml:space="preserve">  "operatingDaysPerYear": 240,</w:t>
      </w:r>
    </w:p>
    <w:p>
      <w:pPr>
        <w:pStyle w:val="CodeBlock"/>
      </w:pPr>
      <w:r>
        <w:rPr>
          <w:rFonts w:ascii="Courier New" w:hAnsi="Courier New" w:eastAsia="Courier New"/>
          <w:sz w:val="16"/>
        </w:rPr>
        <w:t xml:space="preserve">  "loadFactor": 0.85,</w:t>
      </w:r>
    </w:p>
    <w:p>
      <w:pPr>
        <w:pStyle w:val="CodeBlock"/>
      </w:pPr>
      <w:r>
        <w:rPr>
          <w:rFonts w:ascii="Courier New" w:hAnsi="Courier New" w:eastAsia="Courier New"/>
          <w:sz w:val="16"/>
        </w:rPr>
        <w:t xml:space="preserve">  "payloadCapacityTons": 24,</w:t>
      </w:r>
    </w:p>
    <w:p>
      <w:pPr>
        <w:pStyle w:val="CodeBlock"/>
      </w:pPr>
      <w:r>
        <w:rPr>
          <w:rFonts w:ascii="Courier New" w:hAnsi="Courier New" w:eastAsia="Courier New"/>
          <w:sz w:val="16"/>
        </w:rPr>
        <w:t xml:space="preserve">  "payloadUtilisation": 0.90,</w:t>
      </w:r>
    </w:p>
    <w:p>
      <w:pPr>
        <w:pStyle w:val="CodeBlock"/>
      </w:pPr>
      <w:r>
        <w:rPr>
          <w:rFonts w:ascii="Courier New" w:hAnsi="Courier New" w:eastAsia="Courier New"/>
          <w:sz w:val="16"/>
        </w:rPr>
        <w:t xml:space="preserve">  "fuelConsumptionLPer100Km": 29,</w:t>
      </w:r>
    </w:p>
    <w:p>
      <w:pPr>
        <w:pStyle w:val="CodeBlock"/>
      </w:pPr>
      <w:r>
        <w:rPr>
          <w:rFonts w:ascii="Courier New" w:hAnsi="Courier New" w:eastAsia="Courier New"/>
          <w:sz w:val="16"/>
        </w:rPr>
        <w:t xml:space="preserve">  "fuelPricePerLiter": 1.55,</w:t>
      </w:r>
    </w:p>
    <w:p>
      <w:pPr>
        <w:pStyle w:val="CodeBlock"/>
      </w:pPr>
      <w:r>
        <w:rPr>
          <w:rFonts w:ascii="Courier New" w:hAnsi="Courier New" w:eastAsia="Courier New"/>
          <w:sz w:val="16"/>
        </w:rPr>
        <w:t xml:space="preserve">  "tyresAnnualCost": 4500,</w:t>
      </w:r>
    </w:p>
    <w:p>
      <w:pPr>
        <w:pStyle w:val="CodeBlock"/>
      </w:pPr>
      <w:r>
        <w:rPr>
          <w:rFonts w:ascii="Courier New" w:hAnsi="Courier New" w:eastAsia="Courier New"/>
          <w:sz w:val="16"/>
        </w:rPr>
        <w:t xml:space="preserve">  "maintenanceAnnualCost": 9500,</w:t>
      </w:r>
    </w:p>
    <w:p>
      <w:pPr>
        <w:pStyle w:val="CodeBlock"/>
      </w:pPr>
      <w:r>
        <w:rPr>
          <w:rFonts w:ascii="Courier New" w:hAnsi="Courier New" w:eastAsia="Courier New"/>
          <w:sz w:val="16"/>
        </w:rPr>
        <w:t xml:space="preserve">  "roadFeesAnnualCost": 18000,</w:t>
      </w:r>
    </w:p>
    <w:p>
      <w:pPr>
        <w:pStyle w:val="CodeBlock"/>
      </w:pPr>
      <w:r>
        <w:rPr>
          <w:rFonts w:ascii="Courier New" w:hAnsi="Courier New" w:eastAsia="Courier New"/>
          <w:sz w:val="16"/>
        </w:rPr>
        <w:t xml:space="preserve">  "driverSalaryAnnual": 36000,</w:t>
      </w:r>
    </w:p>
    <w:p>
      <w:pPr>
        <w:pStyle w:val="CodeBlock"/>
      </w:pPr>
      <w:r>
        <w:rPr>
          <w:rFonts w:ascii="Courier New" w:hAnsi="Courier New" w:eastAsia="Courier New"/>
          <w:sz w:val="16"/>
        </w:rPr>
        <w:t xml:space="preserve">  "driverPerDiemDaily": 35,</w:t>
      </w:r>
    </w:p>
    <w:p>
      <w:pPr>
        <w:pStyle w:val="CodeBlock"/>
      </w:pPr>
      <w:r>
        <w:rPr>
          <w:rFonts w:ascii="Courier New" w:hAnsi="Courier New" w:eastAsia="Courier New"/>
          <w:sz w:val="16"/>
        </w:rPr>
        <w:t xml:space="preserve">  "ownershipOrLeasingAnnual": 32000,</w:t>
      </w:r>
    </w:p>
    <w:p>
      <w:pPr>
        <w:pStyle w:val="CodeBlock"/>
      </w:pPr>
      <w:r>
        <w:rPr>
          <w:rFonts w:ascii="Courier New" w:hAnsi="Courier New" w:eastAsia="Courier New"/>
          <w:sz w:val="16"/>
        </w:rPr>
        <w:t xml:space="preserve">  "insuranceAnnual": 4800,</w:t>
      </w:r>
    </w:p>
    <w:p>
      <w:pPr>
        <w:pStyle w:val="CodeBlock"/>
      </w:pPr>
      <w:r>
        <w:rPr>
          <w:rFonts w:ascii="Courier New" w:hAnsi="Courier New" w:eastAsia="Courier New"/>
          <w:sz w:val="16"/>
        </w:rPr>
        <w:t xml:space="preserve">  "vehicleTaxAnnual": 1200,</w:t>
      </w:r>
    </w:p>
    <w:p>
      <w:pPr>
        <w:pStyle w:val="CodeBlock"/>
      </w:pPr>
      <w:r>
        <w:rPr>
          <w:rFonts w:ascii="Courier New" w:hAnsi="Courier New" w:eastAsia="Courier New"/>
          <w:sz w:val="16"/>
        </w:rPr>
        <w:t xml:space="preserve">  "structuralIndirectCostsAnnual": 15000,</w:t>
      </w:r>
    </w:p>
    <w:p>
      <w:pPr>
        <w:pStyle w:val="CodeBlock"/>
      </w:pPr>
      <w:r>
        <w:rPr>
          <w:rFonts w:ascii="Courier New" w:hAnsi="Courier New" w:eastAsia="Courier New"/>
          <w:sz w:val="16"/>
        </w:rPr>
        <w:t xml:space="preserve">  "employerContributionRate": 0.21,</w:t>
      </w:r>
    </w:p>
    <w:p>
      <w:pPr>
        <w:pStyle w:val="CodeBlock"/>
      </w:pPr>
      <w:r>
        <w:rPr>
          <w:rFonts w:ascii="Courier New" w:hAnsi="Courier New" w:eastAsia="Courier New"/>
          <w:sz w:val="16"/>
        </w:rPr>
        <w:t xml:space="preserve">  "vatRate": 0.20,</w:t>
      </w:r>
    </w:p>
    <w:p>
      <w:pPr>
        <w:pStyle w:val="CodeBlock"/>
      </w:pPr>
      <w:r>
        <w:rPr>
          <w:rFonts w:ascii="Courier New" w:hAnsi="Courier New" w:eastAsia="Courier New"/>
          <w:sz w:val="16"/>
        </w:rPr>
        <w:t xml:space="preserve">  "effectiveBusinessTaxRate": 0.23,</w:t>
      </w:r>
    </w:p>
    <w:p>
      <w:pPr>
        <w:pStyle w:val="CodeBlock"/>
      </w:pPr>
      <w:r>
        <w:rPr>
          <w:rFonts w:ascii="Courier New" w:hAnsi="Courier New" w:eastAsia="Courier New"/>
          <w:sz w:val="16"/>
        </w:rPr>
        <w:t xml:space="preserve">  "markupPercentage": 0.15</w:t>
      </w:r>
    </w:p>
    <w:p>
      <w:pPr>
        <w:pStyle w:val="CodeBlock"/>
      </w:pPr>
      <w:r>
        <w:rPr>
          <w:rFonts w:ascii="Courier New" w:hAnsi="Courier New" w:eastAsia="Courier New"/>
          <w:sz w:val="16"/>
        </w:rPr>
        <w:t>}</w:t>
      </w:r>
    </w:p>
    <w:p>
      <w:pPr>
        <w:pStyle w:val="Heading1"/>
      </w:pPr>
      <w:r>
        <w:t>21. Deployment and Operations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72"/>
            <w:vAlign w:val="top"/>
            <w:shd w:fill="0F766E"/>
          </w:tcPr>
          <w:p>
            <w:r>
              <w:rPr>
                <w:b/>
                <w:color w:val="FFFFFF"/>
                <w:sz w:val="17"/>
              </w:rPr>
            </w:r>
            <w:r>
              <w:rPr>
                <w:b/>
                <w:color w:val="FFFFFF"/>
                <w:sz w:val="17"/>
              </w:rPr>
              <w:t>Environment</w:t>
            </w:r>
          </w:p>
        </w:tc>
        <w:tc>
          <w:tcPr>
            <w:tcW w:type="dxa" w:w="3024"/>
            <w:vAlign w:val="top"/>
            <w:shd w:fill="0F766E"/>
          </w:tcPr>
          <w:p>
            <w:r>
              <w:rPr>
                <w:b/>
                <w:color w:val="FFFFFF"/>
                <w:sz w:val="17"/>
              </w:rPr>
            </w:r>
            <w:r>
              <w:rPr>
                <w:b/>
                <w:color w:val="FFFFFF"/>
                <w:sz w:val="17"/>
              </w:rPr>
              <w:t>Purpose</w:t>
            </w:r>
          </w:p>
        </w:tc>
        <w:tc>
          <w:tcPr>
            <w:tcW w:type="dxa" w:w="3456"/>
            <w:vAlign w:val="top"/>
            <w:shd w:fill="0F766E"/>
          </w:tcPr>
          <w:p>
            <w:r>
              <w:rPr>
                <w:b/>
                <w:color w:val="FFFFFF"/>
                <w:sz w:val="17"/>
              </w:rPr>
            </w:r>
            <w:r>
              <w:rPr>
                <w:b/>
                <w:color w:val="FFFFFF"/>
                <w:sz w:val="17"/>
              </w:rPr>
              <w:t>Branch / database</w:t>
            </w:r>
          </w:p>
        </w:tc>
        <w:tc>
          <w:tcPr>
            <w:tcW w:type="dxa" w:w="2304"/>
            <w:vAlign w:val="top"/>
            <w:shd w:fill="0F766E"/>
          </w:tcPr>
          <w:p>
            <w:r>
              <w:rPr>
                <w:b/>
                <w:color w:val="FFFFFF"/>
                <w:sz w:val="17"/>
              </w:rPr>
            </w:r>
            <w:r>
              <w:rPr>
                <w:b/>
                <w:color w:val="FFFFFF"/>
                <w:sz w:val="17"/>
              </w:rPr>
              <w:t>Notes</w:t>
            </w:r>
          </w:p>
        </w:tc>
      </w:tr>
      <w:tr>
        <w:tc>
          <w:tcPr>
            <w:tcW w:type="dxa" w:w="1872"/>
            <w:vAlign w:val="top"/>
          </w:tcPr>
          <w:p>
            <w:r>
              <w:rPr>
                <w:sz w:val="17"/>
              </w:rPr>
            </w:r>
            <w:r>
              <w:rPr>
                <w:b w:val="0"/>
                <w:sz w:val="17"/>
              </w:rPr>
              <w:t>Local</w:t>
            </w:r>
          </w:p>
        </w:tc>
        <w:tc>
          <w:tcPr>
            <w:tcW w:type="dxa" w:w="3024"/>
            <w:vAlign w:val="top"/>
          </w:tcPr>
          <w:p>
            <w:r>
              <w:rPr>
                <w:sz w:val="17"/>
              </w:rPr>
            </w:r>
            <w:r>
              <w:rPr>
                <w:b w:val="0"/>
                <w:sz w:val="17"/>
              </w:rPr>
              <w:t>Developer testing.</w:t>
            </w:r>
          </w:p>
        </w:tc>
        <w:tc>
          <w:tcPr>
            <w:tcW w:type="dxa" w:w="3456"/>
            <w:vAlign w:val="top"/>
          </w:tcPr>
          <w:p>
            <w:r>
              <w:rPr>
                <w:sz w:val="17"/>
              </w:rPr>
            </w:r>
            <w:r>
              <w:rPr>
                <w:b w:val="0"/>
                <w:sz w:val="17"/>
              </w:rPr>
              <w:t>Local branch and local/dev database.</w:t>
            </w:r>
          </w:p>
        </w:tc>
        <w:tc>
          <w:tcPr>
            <w:tcW w:type="dxa" w:w="2304"/>
            <w:vAlign w:val="top"/>
          </w:tcPr>
          <w:p>
            <w:r>
              <w:rPr>
                <w:sz w:val="17"/>
              </w:rPr>
            </w:r>
            <w:r>
              <w:rPr>
                <w:b w:val="0"/>
                <w:sz w:val="17"/>
              </w:rPr>
              <w:t>Uses .env.local.</w:t>
            </w:r>
          </w:p>
        </w:tc>
      </w:tr>
      <w:tr>
        <w:tc>
          <w:tcPr>
            <w:tcW w:type="dxa" w:w="1872"/>
            <w:vAlign w:val="top"/>
          </w:tcPr>
          <w:p>
            <w:r>
              <w:rPr>
                <w:sz w:val="17"/>
              </w:rPr>
            </w:r>
            <w:r>
              <w:rPr>
                <w:b w:val="0"/>
                <w:sz w:val="17"/>
              </w:rPr>
              <w:t>Staging</w:t>
            </w:r>
          </w:p>
        </w:tc>
        <w:tc>
          <w:tcPr>
            <w:tcW w:type="dxa" w:w="3024"/>
            <w:vAlign w:val="top"/>
          </w:tcPr>
          <w:p>
            <w:r>
              <w:rPr>
                <w:sz w:val="17"/>
              </w:rPr>
            </w:r>
            <w:r>
              <w:rPr>
                <w:b w:val="0"/>
                <w:sz w:val="17"/>
              </w:rPr>
              <w:t>Pre-production validation.</w:t>
            </w:r>
          </w:p>
        </w:tc>
        <w:tc>
          <w:tcPr>
            <w:tcW w:type="dxa" w:w="3456"/>
            <w:vAlign w:val="top"/>
          </w:tcPr>
          <w:p>
            <w:r>
              <w:rPr>
                <w:sz w:val="17"/>
              </w:rPr>
            </w:r>
            <w:r>
              <w:rPr>
                <w:b w:val="0"/>
                <w:sz w:val="17"/>
              </w:rPr>
              <w:t>develop or staging branch and staging database.</w:t>
            </w:r>
          </w:p>
        </w:tc>
        <w:tc>
          <w:tcPr>
            <w:tcW w:type="dxa" w:w="2304"/>
            <w:vAlign w:val="top"/>
          </w:tcPr>
          <w:p>
            <w:r>
              <w:rPr>
                <w:sz w:val="17"/>
              </w:rPr>
            </w:r>
            <w:r>
              <w:rPr>
                <w:b w:val="0"/>
                <w:sz w:val="17"/>
              </w:rPr>
              <w:t>Used for user acceptance testing.</w:t>
            </w:r>
          </w:p>
        </w:tc>
      </w:tr>
      <w:tr>
        <w:tc>
          <w:tcPr>
            <w:tcW w:type="dxa" w:w="1872"/>
            <w:vAlign w:val="top"/>
          </w:tcPr>
          <w:p>
            <w:r>
              <w:rPr>
                <w:sz w:val="17"/>
              </w:rPr>
            </w:r>
            <w:r>
              <w:rPr>
                <w:b w:val="0"/>
                <w:sz w:val="17"/>
              </w:rPr>
              <w:t>Production</w:t>
            </w:r>
          </w:p>
        </w:tc>
        <w:tc>
          <w:tcPr>
            <w:tcW w:type="dxa" w:w="3024"/>
            <w:vAlign w:val="top"/>
          </w:tcPr>
          <w:p>
            <w:r>
              <w:rPr>
                <w:sz w:val="17"/>
              </w:rPr>
            </w:r>
            <w:r>
              <w:rPr>
                <w:b w:val="0"/>
                <w:sz w:val="17"/>
              </w:rPr>
              <w:t>Live application.</w:t>
            </w:r>
          </w:p>
        </w:tc>
        <w:tc>
          <w:tcPr>
            <w:tcW w:type="dxa" w:w="3456"/>
            <w:vAlign w:val="top"/>
          </w:tcPr>
          <w:p>
            <w:r>
              <w:rPr>
                <w:sz w:val="17"/>
              </w:rPr>
            </w:r>
            <w:r>
              <w:rPr>
                <w:b w:val="0"/>
                <w:sz w:val="17"/>
              </w:rPr>
              <w:t>main branch and production database.</w:t>
            </w:r>
          </w:p>
        </w:tc>
        <w:tc>
          <w:tcPr>
            <w:tcW w:type="dxa" w:w="2304"/>
            <w:vAlign w:val="top"/>
          </w:tcPr>
          <w:p>
            <w:r>
              <w:rPr>
                <w:sz w:val="17"/>
              </w:rPr>
            </w:r>
            <w:r>
              <w:rPr>
                <w:b w:val="0"/>
                <w:sz w:val="17"/>
              </w:rPr>
              <w:t>Only reviewed changes deployed.</w:t>
            </w:r>
          </w:p>
        </w:tc>
      </w:tr>
    </w:tbl>
    <w:p>
      <w:pPr>
        <w:pStyle w:val="ListBullet"/>
      </w:pPr>
      <w:r>
        <w:t>Backend must expose /api/health for Render health checks.</w:t>
      </w:r>
    </w:p>
    <w:p>
      <w:pPr>
        <w:pStyle w:val="ListBullet"/>
      </w:pPr>
      <w:r>
        <w:t>Frontend must read the API base URL from environment variables.</w:t>
      </w:r>
    </w:p>
    <w:p>
      <w:pPr>
        <w:pStyle w:val="ListBullet"/>
      </w:pPr>
      <w:r>
        <w:t>Database migrations must be run through Prisma migrations, not manual production edits.</w:t>
      </w:r>
    </w:p>
    <w:p>
      <w:pPr>
        <w:pStyle w:val="ListBullet"/>
      </w:pPr>
      <w:r>
        <w:t>Tax rules and vehicle classes should be seeded through controlled seed scripts.</w:t>
      </w:r>
    </w:p>
    <w:p>
      <w:pPr>
        <w:pStyle w:val="ListBullet"/>
      </w:pPr>
      <w:r>
        <w:t>Application logs must include request identifiers, endpoint, status code and execution time, but must not log sensitive user data unnecessarily.</w:t>
      </w:r>
    </w:p>
    <w:p>
      <w:r>
        <w:br w:type="page"/>
      </w:r>
    </w:p>
    <w:p>
      <w:pPr>
        <w:pStyle w:val="Heading1"/>
      </w:pPr>
      <w:r>
        <w:t>22. Implementation Roadmap and Sprint Acceptance Criteria</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296"/>
            <w:vAlign w:val="top"/>
            <w:shd w:fill="0F766E"/>
          </w:tcPr>
          <w:p>
            <w:r>
              <w:rPr>
                <w:b/>
                <w:color w:val="FFFFFF"/>
                <w:sz w:val="17"/>
              </w:rPr>
            </w:r>
            <w:r>
              <w:rPr>
                <w:b/>
                <w:color w:val="FFFFFF"/>
                <w:sz w:val="17"/>
              </w:rPr>
              <w:t>Sprint</w:t>
            </w:r>
          </w:p>
        </w:tc>
        <w:tc>
          <w:tcPr>
            <w:tcW w:type="dxa" w:w="3312"/>
            <w:vAlign w:val="top"/>
            <w:shd w:fill="0F766E"/>
          </w:tcPr>
          <w:p>
            <w:r>
              <w:rPr>
                <w:b/>
                <w:color w:val="FFFFFF"/>
                <w:sz w:val="17"/>
              </w:rPr>
            </w:r>
            <w:r>
              <w:rPr>
                <w:b/>
                <w:color w:val="FFFFFF"/>
                <w:sz w:val="17"/>
              </w:rPr>
              <w:t>Scope</w:t>
            </w:r>
          </w:p>
        </w:tc>
        <w:tc>
          <w:tcPr>
            <w:tcW w:type="dxa" w:w="6048"/>
            <w:vAlign w:val="top"/>
            <w:shd w:fill="0F766E"/>
          </w:tcPr>
          <w:p>
            <w:r>
              <w:rPr>
                <w:b/>
                <w:color w:val="FFFFFF"/>
                <w:sz w:val="17"/>
              </w:rPr>
            </w:r>
            <w:r>
              <w:rPr>
                <w:b/>
                <w:color w:val="FFFFFF"/>
                <w:sz w:val="17"/>
              </w:rPr>
              <w:t>Definition of done</w:t>
            </w:r>
          </w:p>
        </w:tc>
      </w:tr>
      <w:tr>
        <w:tc>
          <w:tcPr>
            <w:tcW w:type="dxa" w:w="1296"/>
            <w:vAlign w:val="top"/>
          </w:tcPr>
          <w:p>
            <w:r>
              <w:rPr>
                <w:sz w:val="17"/>
              </w:rPr>
            </w:r>
            <w:r>
              <w:rPr>
                <w:b w:val="0"/>
                <w:sz w:val="17"/>
              </w:rPr>
              <w:t>Sprint 1</w:t>
            </w:r>
          </w:p>
        </w:tc>
        <w:tc>
          <w:tcPr>
            <w:tcW w:type="dxa" w:w="3312"/>
            <w:vAlign w:val="top"/>
          </w:tcPr>
          <w:p>
            <w:r>
              <w:rPr>
                <w:sz w:val="17"/>
              </w:rPr>
            </w:r>
            <w:r>
              <w:rPr>
                <w:b w:val="0"/>
                <w:sz w:val="17"/>
              </w:rPr>
              <w:t>Backend calculation preview engine</w:t>
            </w:r>
          </w:p>
        </w:tc>
        <w:tc>
          <w:tcPr>
            <w:tcW w:type="dxa" w:w="6048"/>
            <w:vAlign w:val="top"/>
          </w:tcPr>
          <w:p>
            <w:r>
              <w:rPr>
                <w:sz w:val="17"/>
              </w:rPr>
            </w:r>
            <w:r>
              <w:rPr>
                <w:b w:val="0"/>
                <w:sz w:val="17"/>
              </w:rPr>
              <w:t>POST /api/calculations/preview works, validates input and returns break-even, pricing and tax output.</w:t>
            </w:r>
          </w:p>
        </w:tc>
      </w:tr>
      <w:tr>
        <w:tc>
          <w:tcPr>
            <w:tcW w:type="dxa" w:w="1296"/>
            <w:vAlign w:val="top"/>
          </w:tcPr>
          <w:p>
            <w:r>
              <w:rPr>
                <w:sz w:val="17"/>
              </w:rPr>
            </w:r>
            <w:r>
              <w:rPr>
                <w:b w:val="0"/>
                <w:sz w:val="17"/>
              </w:rPr>
              <w:t>Sprint 2</w:t>
            </w:r>
          </w:p>
        </w:tc>
        <w:tc>
          <w:tcPr>
            <w:tcW w:type="dxa" w:w="3312"/>
            <w:vAlign w:val="top"/>
          </w:tcPr>
          <w:p>
            <w:r>
              <w:rPr>
                <w:sz w:val="17"/>
              </w:rPr>
            </w:r>
            <w:r>
              <w:rPr>
                <w:b w:val="0"/>
                <w:sz w:val="17"/>
              </w:rPr>
              <w:t>Database schema and seed data</w:t>
            </w:r>
          </w:p>
        </w:tc>
        <w:tc>
          <w:tcPr>
            <w:tcW w:type="dxa" w:w="6048"/>
            <w:vAlign w:val="top"/>
          </w:tcPr>
          <w:p>
            <w:r>
              <w:rPr>
                <w:sz w:val="17"/>
              </w:rPr>
            </w:r>
            <w:r>
              <w:rPr>
                <w:b w:val="0"/>
                <w:sz w:val="17"/>
              </w:rPr>
              <w:t>Countries, company types, business models, tax rules and vehicle classes are migrated and seeded.</w:t>
            </w:r>
          </w:p>
        </w:tc>
      </w:tr>
      <w:tr>
        <w:tc>
          <w:tcPr>
            <w:tcW w:type="dxa" w:w="1296"/>
            <w:vAlign w:val="top"/>
          </w:tcPr>
          <w:p>
            <w:r>
              <w:rPr>
                <w:sz w:val="17"/>
              </w:rPr>
            </w:r>
            <w:r>
              <w:rPr>
                <w:b w:val="0"/>
                <w:sz w:val="17"/>
              </w:rPr>
              <w:t>Sprint 3</w:t>
            </w:r>
          </w:p>
        </w:tc>
        <w:tc>
          <w:tcPr>
            <w:tcW w:type="dxa" w:w="3312"/>
            <w:vAlign w:val="top"/>
          </w:tcPr>
          <w:p>
            <w:r>
              <w:rPr>
                <w:sz w:val="17"/>
              </w:rPr>
            </w:r>
            <w:r>
              <w:rPr>
                <w:b w:val="0"/>
                <w:sz w:val="17"/>
              </w:rPr>
              <w:t>Reference and tax cascade APIs</w:t>
            </w:r>
          </w:p>
        </w:tc>
        <w:tc>
          <w:tcPr>
            <w:tcW w:type="dxa" w:w="6048"/>
            <w:vAlign w:val="top"/>
          </w:tcPr>
          <w:p>
            <w:r>
              <w:rPr>
                <w:sz w:val="17"/>
              </w:rPr>
            </w:r>
            <w:r>
              <w:rPr>
                <w:b w:val="0"/>
                <w:sz w:val="17"/>
              </w:rPr>
              <w:t>Country dropdown, company-type dropdown and tax-profile endpoint work.</w:t>
            </w:r>
          </w:p>
        </w:tc>
      </w:tr>
      <w:tr>
        <w:tc>
          <w:tcPr>
            <w:tcW w:type="dxa" w:w="1296"/>
            <w:vAlign w:val="top"/>
          </w:tcPr>
          <w:p>
            <w:r>
              <w:rPr>
                <w:sz w:val="17"/>
              </w:rPr>
            </w:r>
            <w:r>
              <w:rPr>
                <w:b w:val="0"/>
                <w:sz w:val="17"/>
              </w:rPr>
              <w:t>Sprint 4</w:t>
            </w:r>
          </w:p>
        </w:tc>
        <w:tc>
          <w:tcPr>
            <w:tcW w:type="dxa" w:w="3312"/>
            <w:vAlign w:val="top"/>
          </w:tcPr>
          <w:p>
            <w:r>
              <w:rPr>
                <w:sz w:val="17"/>
              </w:rPr>
            </w:r>
            <w:r>
              <w:rPr>
                <w:b w:val="0"/>
                <w:sz w:val="17"/>
              </w:rPr>
              <w:t>Frontend company/tax and inputs pages</w:t>
            </w:r>
          </w:p>
        </w:tc>
        <w:tc>
          <w:tcPr>
            <w:tcW w:type="dxa" w:w="6048"/>
            <w:vAlign w:val="top"/>
          </w:tcPr>
          <w:p>
            <w:r>
              <w:rPr>
                <w:sz w:val="17"/>
              </w:rPr>
            </w:r>
            <w:r>
              <w:rPr>
                <w:b w:val="0"/>
                <w:sz w:val="17"/>
              </w:rPr>
              <w:t>User can select country/company/business model and enter transport assumptions.</w:t>
            </w:r>
          </w:p>
        </w:tc>
      </w:tr>
      <w:tr>
        <w:tc>
          <w:tcPr>
            <w:tcW w:type="dxa" w:w="1296"/>
            <w:vAlign w:val="top"/>
          </w:tcPr>
          <w:p>
            <w:r>
              <w:rPr>
                <w:sz w:val="17"/>
              </w:rPr>
            </w:r>
            <w:r>
              <w:rPr>
                <w:b w:val="0"/>
                <w:sz w:val="17"/>
              </w:rPr>
              <w:t>Sprint 5</w:t>
            </w:r>
          </w:p>
        </w:tc>
        <w:tc>
          <w:tcPr>
            <w:tcW w:type="dxa" w:w="3312"/>
            <w:vAlign w:val="top"/>
          </w:tcPr>
          <w:p>
            <w:r>
              <w:rPr>
                <w:sz w:val="17"/>
              </w:rPr>
            </w:r>
            <w:r>
              <w:rPr>
                <w:b w:val="0"/>
                <w:sz w:val="17"/>
              </w:rPr>
              <w:t>Break-even and pricing pages</w:t>
            </w:r>
          </w:p>
        </w:tc>
        <w:tc>
          <w:tcPr>
            <w:tcW w:type="dxa" w:w="6048"/>
            <w:vAlign w:val="top"/>
          </w:tcPr>
          <w:p>
            <w:r>
              <w:rPr>
                <w:sz w:val="17"/>
              </w:rPr>
            </w:r>
            <w:r>
              <w:rPr>
                <w:b w:val="0"/>
                <w:sz w:val="17"/>
              </w:rPr>
              <w:t>Frontend calls preview endpoint and displays results and pricing scenarios.</w:t>
            </w:r>
          </w:p>
        </w:tc>
      </w:tr>
      <w:tr>
        <w:tc>
          <w:tcPr>
            <w:tcW w:type="dxa" w:w="1296"/>
            <w:vAlign w:val="top"/>
          </w:tcPr>
          <w:p>
            <w:r>
              <w:rPr>
                <w:sz w:val="17"/>
              </w:rPr>
            </w:r>
            <w:r>
              <w:rPr>
                <w:b w:val="0"/>
                <w:sz w:val="17"/>
              </w:rPr>
              <w:t>Sprint 6</w:t>
            </w:r>
          </w:p>
        </w:tc>
        <w:tc>
          <w:tcPr>
            <w:tcW w:type="dxa" w:w="3312"/>
            <w:vAlign w:val="top"/>
          </w:tcPr>
          <w:p>
            <w:r>
              <w:rPr>
                <w:sz w:val="17"/>
              </w:rPr>
            </w:r>
            <w:r>
              <w:rPr>
                <w:b w:val="0"/>
                <w:sz w:val="17"/>
              </w:rPr>
              <w:t>Save run and history</w:t>
            </w:r>
          </w:p>
        </w:tc>
        <w:tc>
          <w:tcPr>
            <w:tcW w:type="dxa" w:w="6048"/>
            <w:vAlign w:val="top"/>
          </w:tcPr>
          <w:p>
            <w:r>
              <w:rPr>
                <w:sz w:val="17"/>
              </w:rPr>
            </w:r>
            <w:r>
              <w:rPr>
                <w:b w:val="0"/>
                <w:sz w:val="17"/>
              </w:rPr>
              <w:t>Runs are saved with input/output snapshots and shown in history.</w:t>
            </w:r>
          </w:p>
        </w:tc>
      </w:tr>
      <w:tr>
        <w:tc>
          <w:tcPr>
            <w:tcW w:type="dxa" w:w="1296"/>
            <w:vAlign w:val="top"/>
          </w:tcPr>
          <w:p>
            <w:r>
              <w:rPr>
                <w:sz w:val="17"/>
              </w:rPr>
            </w:r>
            <w:r>
              <w:rPr>
                <w:b w:val="0"/>
                <w:sz w:val="17"/>
              </w:rPr>
              <w:t>Sprint 7</w:t>
            </w:r>
          </w:p>
        </w:tc>
        <w:tc>
          <w:tcPr>
            <w:tcW w:type="dxa" w:w="3312"/>
            <w:vAlign w:val="top"/>
          </w:tcPr>
          <w:p>
            <w:r>
              <w:rPr>
                <w:sz w:val="17"/>
              </w:rPr>
            </w:r>
            <w:r>
              <w:rPr>
                <w:b w:val="0"/>
                <w:sz w:val="17"/>
              </w:rPr>
              <w:t>Sensitivity module</w:t>
            </w:r>
          </w:p>
        </w:tc>
        <w:tc>
          <w:tcPr>
            <w:tcW w:type="dxa" w:w="6048"/>
            <w:vAlign w:val="top"/>
          </w:tcPr>
          <w:p>
            <w:r>
              <w:rPr>
                <w:sz w:val="17"/>
              </w:rPr>
            </w:r>
            <w:r>
              <w:rPr>
                <w:b w:val="0"/>
                <w:sz w:val="17"/>
              </w:rPr>
              <w:t>Vehicle, payload, load factor and markup sensitivity outputs and charts are available.</w:t>
            </w:r>
          </w:p>
        </w:tc>
      </w:tr>
      <w:tr>
        <w:tc>
          <w:tcPr>
            <w:tcW w:type="dxa" w:w="1296"/>
            <w:vAlign w:val="top"/>
          </w:tcPr>
          <w:p>
            <w:r>
              <w:rPr>
                <w:sz w:val="17"/>
              </w:rPr>
            </w:r>
            <w:r>
              <w:rPr>
                <w:b w:val="0"/>
                <w:sz w:val="17"/>
              </w:rPr>
              <w:t>Sprint 8</w:t>
            </w:r>
          </w:p>
        </w:tc>
        <w:tc>
          <w:tcPr>
            <w:tcW w:type="dxa" w:w="3312"/>
            <w:vAlign w:val="top"/>
          </w:tcPr>
          <w:p>
            <w:r>
              <w:rPr>
                <w:sz w:val="17"/>
              </w:rPr>
            </w:r>
            <w:r>
              <w:rPr>
                <w:b w:val="0"/>
                <w:sz w:val="17"/>
              </w:rPr>
              <w:t>Exports and audit</w:t>
            </w:r>
          </w:p>
        </w:tc>
        <w:tc>
          <w:tcPr>
            <w:tcW w:type="dxa" w:w="6048"/>
            <w:vAlign w:val="top"/>
          </w:tcPr>
          <w:p>
            <w:r>
              <w:rPr>
                <w:sz w:val="17"/>
              </w:rPr>
            </w:r>
            <w:r>
              <w:rPr>
                <w:b w:val="0"/>
                <w:sz w:val="17"/>
              </w:rPr>
              <w:t>PDF/XLSX export and audit log for important actions.</w:t>
            </w:r>
          </w:p>
        </w:tc>
      </w:tr>
      <w:tr>
        <w:tc>
          <w:tcPr>
            <w:tcW w:type="dxa" w:w="1296"/>
            <w:vAlign w:val="top"/>
          </w:tcPr>
          <w:p>
            <w:r>
              <w:rPr>
                <w:sz w:val="17"/>
              </w:rPr>
            </w:r>
            <w:r>
              <w:rPr>
                <w:b w:val="0"/>
                <w:sz w:val="17"/>
              </w:rPr>
              <w:t>Sprint 9</w:t>
            </w:r>
          </w:p>
        </w:tc>
        <w:tc>
          <w:tcPr>
            <w:tcW w:type="dxa" w:w="3312"/>
            <w:vAlign w:val="top"/>
          </w:tcPr>
          <w:p>
            <w:r>
              <w:rPr>
                <w:sz w:val="17"/>
              </w:rPr>
            </w:r>
            <w:r>
              <w:rPr>
                <w:b w:val="0"/>
                <w:sz w:val="17"/>
              </w:rPr>
              <w:t>Admin reference maintenance</w:t>
            </w:r>
          </w:p>
        </w:tc>
        <w:tc>
          <w:tcPr>
            <w:tcW w:type="dxa" w:w="6048"/>
            <w:vAlign w:val="top"/>
          </w:tcPr>
          <w:p>
            <w:r>
              <w:rPr>
                <w:sz w:val="17"/>
              </w:rPr>
            </w:r>
            <w:r>
              <w:rPr>
                <w:b w:val="0"/>
                <w:sz w:val="17"/>
              </w:rPr>
              <w:t>Admin can maintain tax rules and vehicle classes with governance fields.</w:t>
            </w:r>
          </w:p>
        </w:tc>
      </w:tr>
    </w:tbl>
    <w:p>
      <w:r>
        <w:br w:type="page"/>
      </w:r>
    </w:p>
    <w:p>
      <w:pPr>
        <w:pStyle w:val="Heading1"/>
      </w:pPr>
      <w:r>
        <w:t>23. Appendices</w:t>
      </w:r>
    </w:p>
    <w:p>
      <w:pPr>
        <w:pStyle w:val="Heading2"/>
      </w:pPr>
      <w:r>
        <w:t>23.1 PostgreSQL Schema Draft</w:t>
      </w:r>
    </w:p>
    <w:p>
      <w:pPr>
        <w:pStyle w:val="CodeBlock"/>
      </w:pPr>
      <w:r>
        <w:rPr>
          <w:rFonts w:ascii="Courier New" w:hAnsi="Courier New" w:eastAsia="Courier New"/>
          <w:sz w:val="14"/>
        </w:rPr>
        <w:t>CREATE TABLE countries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code VARCHAR(10) UNIQUE NOT NULL,</w:t>
      </w:r>
    </w:p>
    <w:p>
      <w:pPr>
        <w:pStyle w:val="CodeBlock"/>
      </w:pPr>
      <w:r>
        <w:rPr>
          <w:rFonts w:ascii="Courier New" w:hAnsi="Courier New" w:eastAsia="Courier New"/>
          <w:sz w:val="14"/>
        </w:rPr>
        <w:t xml:space="preserve">  name VARCHAR(100) NOT NULL,</w:t>
      </w:r>
    </w:p>
    <w:p>
      <w:pPr>
        <w:pStyle w:val="CodeBlock"/>
      </w:pPr>
      <w:r>
        <w:rPr>
          <w:rFonts w:ascii="Courier New" w:hAnsi="Courier New" w:eastAsia="Courier New"/>
          <w:sz w:val="14"/>
        </w:rPr>
        <w:t xml:space="preserve">  currency VARCHAR(10) NOT NULL,</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company_types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country_id INTEGER NOT NULL REFERENCES countries(id),</w:t>
      </w:r>
    </w:p>
    <w:p>
      <w:pPr>
        <w:pStyle w:val="CodeBlock"/>
      </w:pPr>
      <w:r>
        <w:rPr>
          <w:rFonts w:ascii="Courier New" w:hAnsi="Courier New" w:eastAsia="Courier New"/>
          <w:sz w:val="14"/>
        </w:rPr>
        <w:t xml:space="preserve">  name VARCHAR(100) NOT NULL,</w:t>
      </w:r>
    </w:p>
    <w:p>
      <w:pPr>
        <w:pStyle w:val="CodeBlock"/>
      </w:pPr>
      <w:r>
        <w:rPr>
          <w:rFonts w:ascii="Courier New" w:hAnsi="Courier New" w:eastAsia="Courier New"/>
          <w:sz w:val="14"/>
        </w:rPr>
        <w:t xml:space="preserve">  description TEXT,</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 xml:space="preserve">  UNIQUE(country_id, name)</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business_models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name VARCHAR(100) UNIQUE NOT NULL,</w:t>
      </w:r>
    </w:p>
    <w:p>
      <w:pPr>
        <w:pStyle w:val="CodeBlock"/>
      </w:pPr>
      <w:r>
        <w:rPr>
          <w:rFonts w:ascii="Courier New" w:hAnsi="Courier New" w:eastAsia="Courier New"/>
          <w:sz w:val="14"/>
        </w:rPr>
        <w:t xml:space="preserve">  description TEXT,</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tax_rules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country_id INTEGER NOT NULL REFERENCES countries(id),</w:t>
      </w:r>
    </w:p>
    <w:p>
      <w:pPr>
        <w:pStyle w:val="CodeBlock"/>
      </w:pPr>
      <w:r>
        <w:rPr>
          <w:rFonts w:ascii="Courier New" w:hAnsi="Courier New" w:eastAsia="Courier New"/>
          <w:sz w:val="14"/>
        </w:rPr>
        <w:t xml:space="preserve">  company_type_id INTEGER NOT NULL REFERENCES company_types(id),</w:t>
      </w:r>
    </w:p>
    <w:p>
      <w:pPr>
        <w:pStyle w:val="CodeBlock"/>
      </w:pPr>
      <w:r>
        <w:rPr>
          <w:rFonts w:ascii="Courier New" w:hAnsi="Courier New" w:eastAsia="Courier New"/>
          <w:sz w:val="14"/>
        </w:rPr>
        <w:t xml:space="preserve">  vat_registered_default BOOLEAN DEFAULT TRUE,</w:t>
      </w:r>
    </w:p>
    <w:p>
      <w:pPr>
        <w:pStyle w:val="CodeBlock"/>
      </w:pPr>
      <w:r>
        <w:rPr>
          <w:rFonts w:ascii="Courier New" w:hAnsi="Courier New" w:eastAsia="Courier New"/>
          <w:sz w:val="14"/>
        </w:rPr>
        <w:t xml:space="preserve">  vat_rate NUMERIC(8,4) NOT NULL,</w:t>
      </w:r>
    </w:p>
    <w:p>
      <w:pPr>
        <w:pStyle w:val="CodeBlock"/>
      </w:pPr>
      <w:r>
        <w:rPr>
          <w:rFonts w:ascii="Courier New" w:hAnsi="Courier New" w:eastAsia="Courier New"/>
          <w:sz w:val="14"/>
        </w:rPr>
        <w:t xml:space="preserve">  corporate_tax_rate NUMERIC(8,4) NOT NULL,</w:t>
      </w:r>
    </w:p>
    <w:p>
      <w:pPr>
        <w:pStyle w:val="CodeBlock"/>
      </w:pPr>
      <w:r>
        <w:rPr>
          <w:rFonts w:ascii="Courier New" w:hAnsi="Courier New" w:eastAsia="Courier New"/>
          <w:sz w:val="14"/>
        </w:rPr>
        <w:t xml:space="preserve">  local_trade_tax_rate NUMERIC(8,4) DEFAULT 0,</w:t>
      </w:r>
    </w:p>
    <w:p>
      <w:pPr>
        <w:pStyle w:val="CodeBlock"/>
      </w:pPr>
      <w:r>
        <w:rPr>
          <w:rFonts w:ascii="Courier New" w:hAnsi="Courier New" w:eastAsia="Courier New"/>
          <w:sz w:val="14"/>
        </w:rPr>
        <w:t xml:space="preserve">  effective_business_tax_rate NUMERIC(8,4) NOT NULL,</w:t>
      </w:r>
    </w:p>
    <w:p>
      <w:pPr>
        <w:pStyle w:val="CodeBlock"/>
      </w:pPr>
      <w:r>
        <w:rPr>
          <w:rFonts w:ascii="Courier New" w:hAnsi="Courier New" w:eastAsia="Courier New"/>
          <w:sz w:val="14"/>
        </w:rPr>
        <w:t xml:space="preserve">  employer_contribution_rate NUMERIC(8,4) DEFAULT 0,</w:t>
      </w:r>
    </w:p>
    <w:p>
      <w:pPr>
        <w:pStyle w:val="CodeBlock"/>
      </w:pPr>
      <w:r>
        <w:rPr>
          <w:rFonts w:ascii="Courier New" w:hAnsi="Courier New" w:eastAsia="Courier New"/>
          <w:sz w:val="14"/>
        </w:rPr>
        <w:t xml:space="preserve">  employee_contribution_rate NUMERIC(8,4) DEFAULT 0,</w:t>
      </w:r>
    </w:p>
    <w:p>
      <w:pPr>
        <w:pStyle w:val="CodeBlock"/>
      </w:pPr>
      <w:r>
        <w:rPr>
          <w:rFonts w:ascii="Courier New" w:hAnsi="Courier New" w:eastAsia="Courier New"/>
          <w:sz w:val="14"/>
        </w:rPr>
        <w:t xml:space="preserve">  vehicle_tax_default_annual NUMERIC(12,2) DEFAULT 0,</w:t>
      </w:r>
    </w:p>
    <w:p>
      <w:pPr>
        <w:pStyle w:val="CodeBlock"/>
      </w:pPr>
      <w:r>
        <w:rPr>
          <w:rFonts w:ascii="Courier New" w:hAnsi="Courier New" w:eastAsia="Courier New"/>
          <w:sz w:val="14"/>
        </w:rPr>
        <w:t xml:space="preserve">  rule_note TEXT,</w:t>
      </w:r>
    </w:p>
    <w:p>
      <w:pPr>
        <w:pStyle w:val="CodeBlock"/>
      </w:pPr>
      <w:r>
        <w:rPr>
          <w:rFonts w:ascii="Courier New" w:hAnsi="Courier New" w:eastAsia="Courier New"/>
          <w:sz w:val="14"/>
        </w:rPr>
        <w:t xml:space="preserve">  source_name TEXT,</w:t>
      </w:r>
    </w:p>
    <w:p>
      <w:pPr>
        <w:pStyle w:val="CodeBlock"/>
      </w:pPr>
      <w:r>
        <w:rPr>
          <w:rFonts w:ascii="Courier New" w:hAnsi="Courier New" w:eastAsia="Courier New"/>
          <w:sz w:val="14"/>
        </w:rPr>
        <w:t xml:space="preserve">  source_url TEXT,</w:t>
      </w:r>
    </w:p>
    <w:p>
      <w:pPr>
        <w:pStyle w:val="CodeBlock"/>
      </w:pPr>
      <w:r>
        <w:rPr>
          <w:rFonts w:ascii="Courier New" w:hAnsi="Courier New" w:eastAsia="Courier New"/>
          <w:sz w:val="14"/>
        </w:rPr>
        <w:t xml:space="preserve">  source_as_of DATE,</w:t>
      </w:r>
    </w:p>
    <w:p>
      <w:pPr>
        <w:pStyle w:val="CodeBlock"/>
      </w:pPr>
      <w:r>
        <w:rPr>
          <w:rFonts w:ascii="Courier New" w:hAnsi="Courier New" w:eastAsia="Courier New"/>
          <w:sz w:val="14"/>
        </w:rPr>
        <w:t xml:space="preserve">  valid_from DATE,</w:t>
      </w:r>
    </w:p>
    <w:p>
      <w:pPr>
        <w:pStyle w:val="CodeBlock"/>
      </w:pPr>
      <w:r>
        <w:rPr>
          <w:rFonts w:ascii="Courier New" w:hAnsi="Courier New" w:eastAsia="Courier New"/>
          <w:sz w:val="14"/>
        </w:rPr>
        <w:t xml:space="preserve">  valid_to DATE,</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 xml:space="preserve">  UNIQUE(country_id, company_type_id, valid_from)</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vehicle_classes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code VARCHAR(50) UNIQUE NOT NULL,</w:t>
      </w:r>
    </w:p>
    <w:p>
      <w:pPr>
        <w:pStyle w:val="CodeBlock"/>
      </w:pPr>
      <w:r>
        <w:rPr>
          <w:rFonts w:ascii="Courier New" w:hAnsi="Courier New" w:eastAsia="Courier New"/>
          <w:sz w:val="14"/>
        </w:rPr>
        <w:t xml:space="preserve">  name VARCHAR(100) NOT NULL,</w:t>
      </w:r>
    </w:p>
    <w:p>
      <w:pPr>
        <w:pStyle w:val="CodeBlock"/>
      </w:pPr>
      <w:r>
        <w:rPr>
          <w:rFonts w:ascii="Courier New" w:hAnsi="Courier New" w:eastAsia="Courier New"/>
          <w:sz w:val="14"/>
        </w:rPr>
        <w:t xml:space="preserve">  gross_weight_tons NUMERIC(10,2),</w:t>
      </w:r>
    </w:p>
    <w:p>
      <w:pPr>
        <w:pStyle w:val="CodeBlock"/>
      </w:pPr>
      <w:r>
        <w:rPr>
          <w:rFonts w:ascii="Courier New" w:hAnsi="Courier New" w:eastAsia="Courier New"/>
          <w:sz w:val="14"/>
        </w:rPr>
        <w:t xml:space="preserve">  payload_capacity_tons NUMERIC(10,2),</w:t>
      </w:r>
    </w:p>
    <w:p>
      <w:pPr>
        <w:pStyle w:val="CodeBlock"/>
      </w:pPr>
      <w:r>
        <w:rPr>
          <w:rFonts w:ascii="Courier New" w:hAnsi="Courier New" w:eastAsia="Courier New"/>
          <w:sz w:val="14"/>
        </w:rPr>
        <w:t xml:space="preserve">  typical_payload_utilisation NUMERIC(8,4),</w:t>
      </w:r>
    </w:p>
    <w:p>
      <w:pPr>
        <w:pStyle w:val="CodeBlock"/>
      </w:pPr>
      <w:r>
        <w:rPr>
          <w:rFonts w:ascii="Courier New" w:hAnsi="Courier New" w:eastAsia="Courier New"/>
          <w:sz w:val="14"/>
        </w:rPr>
        <w:t xml:space="preserve">  typical_fuel_l_per_100km NUMERIC(10,2),</w:t>
      </w:r>
    </w:p>
    <w:p>
      <w:pPr>
        <w:pStyle w:val="CodeBlock"/>
      </w:pPr>
      <w:r>
        <w:rPr>
          <w:rFonts w:ascii="Courier New" w:hAnsi="Courier New" w:eastAsia="Courier New"/>
          <w:sz w:val="14"/>
        </w:rPr>
        <w:t xml:space="preserve">  annual_fixed_cost_proxy NUMERIC(12,2),</w:t>
      </w:r>
    </w:p>
    <w:p>
      <w:pPr>
        <w:pStyle w:val="CodeBlock"/>
      </w:pPr>
      <w:r>
        <w:rPr>
          <w:rFonts w:ascii="Courier New" w:hAnsi="Courier New" w:eastAsia="Courier New"/>
          <w:sz w:val="14"/>
        </w:rPr>
        <w:t xml:space="preserve">  regulatory_note TEXT,</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calculation_runs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run_name VARCHAR(150),</w:t>
      </w:r>
    </w:p>
    <w:p>
      <w:pPr>
        <w:pStyle w:val="CodeBlock"/>
      </w:pPr>
      <w:r>
        <w:rPr>
          <w:rFonts w:ascii="Courier New" w:hAnsi="Courier New" w:eastAsia="Courier New"/>
          <w:sz w:val="14"/>
        </w:rPr>
        <w:t xml:space="preserve">  country_id INTEGER REFERENCES countries(id),</w:t>
      </w:r>
    </w:p>
    <w:p>
      <w:pPr>
        <w:pStyle w:val="CodeBlock"/>
      </w:pPr>
      <w:r>
        <w:rPr>
          <w:rFonts w:ascii="Courier New" w:hAnsi="Courier New" w:eastAsia="Courier New"/>
          <w:sz w:val="14"/>
        </w:rPr>
        <w:t xml:space="preserve">  company_type_id INTEGER REFERENCES company_types(id),</w:t>
      </w:r>
    </w:p>
    <w:p>
      <w:pPr>
        <w:pStyle w:val="CodeBlock"/>
      </w:pPr>
      <w:r>
        <w:rPr>
          <w:rFonts w:ascii="Courier New" w:hAnsi="Courier New" w:eastAsia="Courier New"/>
          <w:sz w:val="14"/>
        </w:rPr>
        <w:t xml:space="preserve">  business_model_id INTEGER REFERENCES business_models(id),</w:t>
      </w:r>
    </w:p>
    <w:p>
      <w:pPr>
        <w:pStyle w:val="CodeBlock"/>
      </w:pPr>
      <w:r>
        <w:rPr>
          <w:rFonts w:ascii="Courier New" w:hAnsi="Courier New" w:eastAsia="Courier New"/>
          <w:sz w:val="14"/>
        </w:rPr>
        <w:t xml:space="preserve">  vehicle_class_id INTEGER REFERENCES vehicle_classes(id),</w:t>
      </w:r>
    </w:p>
    <w:p>
      <w:pPr>
        <w:pStyle w:val="CodeBlock"/>
      </w:pPr>
      <w:r>
        <w:rPr>
          <w:rFonts w:ascii="Courier New" w:hAnsi="Courier New" w:eastAsia="Courier New"/>
          <w:sz w:val="14"/>
        </w:rPr>
        <w:t xml:space="preserve">  input_snapshot JSONB NOT NULL,</w:t>
      </w:r>
    </w:p>
    <w:p>
      <w:pPr>
        <w:pStyle w:val="CodeBlock"/>
      </w:pPr>
      <w:r>
        <w:rPr>
          <w:rFonts w:ascii="Courier New" w:hAnsi="Courier New" w:eastAsia="Courier New"/>
          <w:sz w:val="14"/>
        </w:rPr>
        <w:t xml:space="preserve">  tax_snapshot JSONB NOT NULL,</w:t>
      </w:r>
    </w:p>
    <w:p>
      <w:pPr>
        <w:pStyle w:val="CodeBlock"/>
      </w:pPr>
      <w:r>
        <w:rPr>
          <w:rFonts w:ascii="Courier New" w:hAnsi="Courier New" w:eastAsia="Courier New"/>
          <w:sz w:val="14"/>
        </w:rPr>
        <w:t xml:space="preserve">  vehicle_snapshot JSONB,</w:t>
      </w:r>
    </w:p>
    <w:p>
      <w:pPr>
        <w:pStyle w:val="CodeBlock"/>
      </w:pPr>
      <w:r>
        <w:rPr>
          <w:rFonts w:ascii="Courier New" w:hAnsi="Courier New" w:eastAsia="Courier New"/>
          <w:sz w:val="14"/>
        </w:rPr>
        <w:t xml:space="preserve">  created_by VARCHAR(150),</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calculation_results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calculation_run_id INTEGER NOT NULL REFERENCES calculation_runs(id) ON DELETE CASCADE,</w:t>
      </w:r>
    </w:p>
    <w:p>
      <w:pPr>
        <w:pStyle w:val="CodeBlock"/>
      </w:pPr>
      <w:r>
        <w:rPr>
          <w:rFonts w:ascii="Courier New" w:hAnsi="Courier New" w:eastAsia="Courier New"/>
          <w:sz w:val="14"/>
        </w:rPr>
        <w:t xml:space="preserve">  result_snapshot JSONB NOT NULL,</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pricing_scenarios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calculation_run_id INTEGER NOT NULL REFERENCES calculation_runs(id) ON DELETE CASCADE,</w:t>
      </w:r>
    </w:p>
    <w:p>
      <w:pPr>
        <w:pStyle w:val="CodeBlock"/>
      </w:pPr>
      <w:r>
        <w:rPr>
          <w:rFonts w:ascii="Courier New" w:hAnsi="Courier New" w:eastAsia="Courier New"/>
          <w:sz w:val="14"/>
        </w:rPr>
        <w:t xml:space="preserve">  markup_percentage NUMERIC(8,4) NOT NULL,</w:t>
      </w:r>
    </w:p>
    <w:p>
      <w:pPr>
        <w:pStyle w:val="CodeBlock"/>
      </w:pPr>
      <w:r>
        <w:rPr>
          <w:rFonts w:ascii="Courier New" w:hAnsi="Courier New" w:eastAsia="Courier New"/>
          <w:sz w:val="14"/>
        </w:rPr>
        <w:t xml:space="preserve">  customer_rate_excl_vat NUMERIC(12,4) NOT NULL,</w:t>
      </w:r>
    </w:p>
    <w:p>
      <w:pPr>
        <w:pStyle w:val="CodeBlock"/>
      </w:pPr>
      <w:r>
        <w:rPr>
          <w:rFonts w:ascii="Courier New" w:hAnsi="Courier New" w:eastAsia="Courier New"/>
          <w:sz w:val="14"/>
        </w:rPr>
        <w:t xml:space="preserve">  customer_rate_incl_vat NUMERIC(12,4) NOT NULL,</w:t>
      </w:r>
    </w:p>
    <w:p>
      <w:pPr>
        <w:pStyle w:val="CodeBlock"/>
      </w:pPr>
      <w:r>
        <w:rPr>
          <w:rFonts w:ascii="Courier New" w:hAnsi="Courier New" w:eastAsia="Courier New"/>
          <w:sz w:val="14"/>
        </w:rPr>
        <w:t xml:space="preserve">  annual_revenue_excl_vat NUMERIC(14,2) NOT NULL,</w:t>
      </w:r>
    </w:p>
    <w:p>
      <w:pPr>
        <w:pStyle w:val="CodeBlock"/>
      </w:pPr>
      <w:r>
        <w:rPr>
          <w:rFonts w:ascii="Courier New" w:hAnsi="Courier New" w:eastAsia="Courier New"/>
          <w:sz w:val="14"/>
        </w:rPr>
        <w:t xml:space="preserve">  ebit_before_tax NUMERIC(14,2) NOT NULL,</w:t>
      </w:r>
    </w:p>
    <w:p>
      <w:pPr>
        <w:pStyle w:val="CodeBlock"/>
      </w:pPr>
      <w:r>
        <w:rPr>
          <w:rFonts w:ascii="Courier New" w:hAnsi="Courier New" w:eastAsia="Courier New"/>
          <w:sz w:val="14"/>
        </w:rPr>
        <w:t xml:space="preserve">  profit_after_tax NUMERIC(14,2) NOT NULL,</w:t>
      </w:r>
    </w:p>
    <w:p>
      <w:pPr>
        <w:pStyle w:val="CodeBlock"/>
      </w:pPr>
      <w:r>
        <w:rPr>
          <w:rFonts w:ascii="Courier New" w:hAnsi="Courier New" w:eastAsia="Courier New"/>
          <w:sz w:val="14"/>
        </w:rPr>
        <w:t xml:space="preserve">  after_tax_margin NUMERIC(12,4) NOT NULL,</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CREATE TABLE audit_log (</w:t>
      </w:r>
    </w:p>
    <w:p>
      <w:pPr>
        <w:pStyle w:val="CodeBlock"/>
      </w:pPr>
      <w:r>
        <w:rPr>
          <w:rFonts w:ascii="Courier New" w:hAnsi="Courier New" w:eastAsia="Courier New"/>
          <w:sz w:val="14"/>
        </w:rPr>
        <w:t xml:space="preserve">  id SERIAL PRIMARY KEY,</w:t>
      </w:r>
    </w:p>
    <w:p>
      <w:pPr>
        <w:pStyle w:val="CodeBlock"/>
      </w:pPr>
      <w:r>
        <w:rPr>
          <w:rFonts w:ascii="Courier New" w:hAnsi="Courier New" w:eastAsia="Courier New"/>
          <w:sz w:val="14"/>
        </w:rPr>
        <w:t xml:space="preserve">  actor VARCHAR(150),</w:t>
      </w:r>
    </w:p>
    <w:p>
      <w:pPr>
        <w:pStyle w:val="CodeBlock"/>
      </w:pPr>
      <w:r>
        <w:rPr>
          <w:rFonts w:ascii="Courier New" w:hAnsi="Courier New" w:eastAsia="Courier New"/>
          <w:sz w:val="14"/>
        </w:rPr>
        <w:t xml:space="preserve">  action VARCHAR(100) NOT NULL,</w:t>
      </w:r>
    </w:p>
    <w:p>
      <w:pPr>
        <w:pStyle w:val="CodeBlock"/>
      </w:pPr>
      <w:r>
        <w:rPr>
          <w:rFonts w:ascii="Courier New" w:hAnsi="Courier New" w:eastAsia="Courier New"/>
          <w:sz w:val="14"/>
        </w:rPr>
        <w:t xml:space="preserve">  entity_type VARCHAR(100),</w:t>
      </w:r>
    </w:p>
    <w:p>
      <w:pPr>
        <w:pStyle w:val="CodeBlock"/>
      </w:pPr>
      <w:r>
        <w:rPr>
          <w:rFonts w:ascii="Courier New" w:hAnsi="Courier New" w:eastAsia="Courier New"/>
          <w:sz w:val="14"/>
        </w:rPr>
        <w:t xml:space="preserve">  entity_id VARCHAR(100),</w:t>
      </w:r>
    </w:p>
    <w:p>
      <w:pPr>
        <w:pStyle w:val="CodeBlock"/>
      </w:pPr>
      <w:r>
        <w:rPr>
          <w:rFonts w:ascii="Courier New" w:hAnsi="Courier New" w:eastAsia="Courier New"/>
          <w:sz w:val="14"/>
        </w:rPr>
        <w:t xml:space="preserve">  before_snapshot JSONB,</w:t>
      </w:r>
    </w:p>
    <w:p>
      <w:pPr>
        <w:pStyle w:val="CodeBlock"/>
      </w:pPr>
      <w:r>
        <w:rPr>
          <w:rFonts w:ascii="Courier New" w:hAnsi="Courier New" w:eastAsia="Courier New"/>
          <w:sz w:val="14"/>
        </w:rPr>
        <w:t xml:space="preserve">  after_snapshot JSONB,</w:t>
      </w:r>
    </w:p>
    <w:p>
      <w:pPr>
        <w:pStyle w:val="CodeBlock"/>
      </w:pPr>
      <w:r>
        <w:rPr>
          <w:rFonts w:ascii="Courier New" w:hAnsi="Courier New" w:eastAsia="Courier New"/>
          <w:sz w:val="14"/>
        </w:rPr>
        <w:t xml:space="preserve">  created_at TIMESTAMP DEFAULT NOW()</w:t>
      </w:r>
    </w:p>
    <w:p>
      <w:pPr>
        <w:pStyle w:val="CodeBlock"/>
      </w:pPr>
      <w:r>
        <w:rPr>
          <w:rFonts w:ascii="Courier New" w:hAnsi="Courier New" w:eastAsia="Courier New"/>
          <w:sz w:val="14"/>
        </w:rPr>
        <w:t>);</w:t>
      </w:r>
    </w:p>
    <w:p>
      <w:pPr>
        <w:pStyle w:val="Heading2"/>
      </w:pPr>
      <w:r>
        <w:t>23.2 Calculation Endpoint Payloads</w:t>
      </w:r>
    </w:p>
    <w:p>
      <w:pPr>
        <w:pStyle w:val="CodeBlock"/>
      </w:pPr>
      <w:r>
        <w:rPr>
          <w:rFonts w:ascii="Courier New" w:hAnsi="Courier New" w:eastAsia="Courier New"/>
          <w:sz w:val="16"/>
        </w:rPr>
        <w:t>POST /api/calculations/preview</w:t>
      </w:r>
    </w:p>
    <w:p>
      <w:pPr>
        <w:pStyle w:val="CodeBlock"/>
      </w:pPr>
      <w:r>
        <w:rPr>
          <w:rFonts w:ascii="Courier New" w:hAnsi="Courier New" w:eastAsia="Courier New"/>
          <w:sz w:val="16"/>
        </w:rPr>
        <w:t>Content-Type: application/json</w:t>
      </w:r>
    </w:p>
    <w:p>
      <w:pPr>
        <w:pStyle w:val="CodeBlock"/>
      </w:pPr>
      <w:r>
        <w:rPr>
          <w:rFonts w:ascii="Courier New" w:hAnsi="Courier New" w:eastAsia="Courier New"/>
          <w:sz w:val="16"/>
        </w:rPr>
      </w:r>
    </w:p>
    <w:p>
      <w:pPr>
        <w:pStyle w:val="CodeBlock"/>
      </w:pPr>
      <w:r>
        <w:rPr>
          <w:rFonts w:ascii="Courier New" w:hAnsi="Courier New" w:eastAsia="Courier New"/>
          <w:sz w:val="16"/>
        </w:rPr>
        <w:t>Request: CalculationInput</w:t>
      </w:r>
    </w:p>
    <w:p>
      <w:pPr>
        <w:pStyle w:val="CodeBlock"/>
      </w:pPr>
      <w:r>
        <w:rPr>
          <w:rFonts w:ascii="Courier New" w:hAnsi="Courier New" w:eastAsia="Courier New"/>
          <w:sz w:val="16"/>
        </w:rPr>
        <w:t>Response: CalculationResult</w:t>
      </w:r>
    </w:p>
    <w:p>
      <w:pPr>
        <w:pStyle w:val="CodeBlock"/>
      </w:pPr>
      <w:r>
        <w:rPr>
          <w:rFonts w:ascii="Courier New" w:hAnsi="Courier New" w:eastAsia="Courier New"/>
          <w:sz w:val="16"/>
        </w:rPr>
      </w:r>
    </w:p>
    <w:p>
      <w:pPr>
        <w:pStyle w:val="CodeBlock"/>
      </w:pPr>
      <w:r>
        <w:rPr>
          <w:rFonts w:ascii="Courier New" w:hAnsi="Courier New" w:eastAsia="Courier New"/>
          <w:sz w:val="16"/>
        </w:rPr>
        <w:t>POST /api/calculations</w:t>
      </w:r>
    </w:p>
    <w:p>
      <w:pPr>
        <w:pStyle w:val="CodeBlock"/>
      </w:pPr>
      <w:r>
        <w:rPr>
          <w:rFonts w:ascii="Courier New" w:hAnsi="Courier New" w:eastAsia="Courier New"/>
          <w:sz w:val="16"/>
        </w:rPr>
        <w:t>Content-Type: application/json</w:t>
      </w:r>
    </w:p>
    <w:p>
      <w:pPr>
        <w:pStyle w:val="CodeBlock"/>
      </w:pPr>
      <w:r>
        <w:rPr>
          <w:rFonts w:ascii="Courier New" w:hAnsi="Courier New" w:eastAsia="Courier New"/>
          <w:sz w:val="16"/>
        </w:rPr>
      </w:r>
    </w:p>
    <w:p>
      <w:pPr>
        <w:pStyle w:val="CodeBlock"/>
      </w:pPr>
      <w:r>
        <w:rPr>
          <w:rFonts w:ascii="Courier New" w:hAnsi="Courier New" w:eastAsia="Courier New"/>
          <w:sz w:val="16"/>
        </w:rPr>
        <w:t>Request: CalculationInput plus optional runName</w:t>
      </w:r>
    </w:p>
    <w:p>
      <w:pPr>
        <w:pStyle w:val="CodeBlock"/>
      </w:pPr>
      <w:r>
        <w:rPr>
          <w:rFonts w:ascii="Courier New" w:hAnsi="Courier New" w:eastAsia="Courier New"/>
          <w:sz w:val="16"/>
        </w:rPr>
        <w:t>Response: calculationRunId, result summary, saved scenarios</w:t>
      </w:r>
    </w:p>
    <w:p>
      <w:pPr>
        <w:pStyle w:val="CodeBlock"/>
      </w:pPr>
      <w:r>
        <w:rPr>
          <w:rFonts w:ascii="Courier New" w:hAnsi="Courier New" w:eastAsia="Courier New"/>
          <w:sz w:val="16"/>
        </w:rPr>
      </w:r>
    </w:p>
    <w:p>
      <w:pPr>
        <w:pStyle w:val="CodeBlock"/>
      </w:pPr>
      <w:r>
        <w:rPr>
          <w:rFonts w:ascii="Courier New" w:hAnsi="Courier New" w:eastAsia="Courier New"/>
          <w:sz w:val="16"/>
        </w:rPr>
        <w:t>GET /api/calculations/:id</w:t>
      </w:r>
    </w:p>
    <w:p>
      <w:pPr>
        <w:pStyle w:val="CodeBlock"/>
      </w:pPr>
      <w:r>
        <w:rPr>
          <w:rFonts w:ascii="Courier New" w:hAnsi="Courier New" w:eastAsia="Courier New"/>
          <w:sz w:val="16"/>
        </w:rPr>
        <w:t>Response: inputSnapshot, taxSnapshot, vehicleSnapshot, resultSnapshot, pricingScenarios</w:t>
      </w:r>
    </w:p>
    <w:p>
      <w:pPr>
        <w:pStyle w:val="Heading2"/>
      </w:pPr>
      <w:r>
        <w:t>23.3 Calculation Engine Pseudocode</w:t>
      </w:r>
    </w:p>
    <w:p>
      <w:pPr>
        <w:pStyle w:val="CodeBlock"/>
      </w:pPr>
      <w:r>
        <w:rPr>
          <w:rFonts w:ascii="Courier New" w:hAnsi="Courier New" w:eastAsia="Courier New"/>
          <w:sz w:val="16"/>
        </w:rPr>
        <w:t>function calculateBreakEven(input, taxProfile) {</w:t>
      </w:r>
    </w:p>
    <w:p>
      <w:pPr>
        <w:pStyle w:val="CodeBlock"/>
      </w:pPr>
      <w:r>
        <w:rPr>
          <w:rFonts w:ascii="Courier New" w:hAnsi="Courier New" w:eastAsia="Courier New"/>
          <w:sz w:val="16"/>
        </w:rPr>
        <w:t xml:space="preserve">  validate(input, taxProfile)</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annualTotalKm = input.dailyKm * input.operatingDaysPerYear</w:t>
      </w:r>
    </w:p>
    <w:p>
      <w:pPr>
        <w:pStyle w:val="CodeBlock"/>
      </w:pPr>
      <w:r>
        <w:rPr>
          <w:rFonts w:ascii="Courier New" w:hAnsi="Courier New" w:eastAsia="Courier New"/>
          <w:sz w:val="16"/>
        </w:rPr>
        <w:t xml:space="preserve">  loadedKmYear = annualTotalKm * input.loadFactor</w:t>
      </w:r>
    </w:p>
    <w:p>
      <w:pPr>
        <w:pStyle w:val="CodeBlock"/>
      </w:pPr>
      <w:r>
        <w:rPr>
          <w:rFonts w:ascii="Courier New" w:hAnsi="Courier New" w:eastAsia="Courier New"/>
          <w:sz w:val="16"/>
        </w:rPr>
        <w:t xml:space="preserve">  effectivePayloadTons = input.payloadCapacityTons * input.payloadUtilisation</w:t>
      </w:r>
    </w:p>
    <w:p>
      <w:pPr>
        <w:pStyle w:val="CodeBlock"/>
      </w:pPr>
      <w:r>
        <w:rPr>
          <w:rFonts w:ascii="Courier New" w:hAnsi="Courier New" w:eastAsia="Courier New"/>
          <w:sz w:val="16"/>
        </w:rPr>
        <w:t xml:space="preserve">  annualTonneKm = loadedKmYear * effectivePayloadTons</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fuelCostPerKm = input.fuelConsumptionLPer100Km / 100 * input.fuelPricePerLiter</w:t>
      </w:r>
    </w:p>
    <w:p>
      <w:pPr>
        <w:pStyle w:val="CodeBlock"/>
      </w:pPr>
      <w:r>
        <w:rPr>
          <w:rFonts w:ascii="Courier New" w:hAnsi="Courier New" w:eastAsia="Courier New"/>
          <w:sz w:val="16"/>
        </w:rPr>
        <w:t xml:space="preserve">  tyresCostPerKm = input.tyresAnnualCost / annualTotalKm</w:t>
      </w:r>
    </w:p>
    <w:p>
      <w:pPr>
        <w:pStyle w:val="CodeBlock"/>
      </w:pPr>
      <w:r>
        <w:rPr>
          <w:rFonts w:ascii="Courier New" w:hAnsi="Courier New" w:eastAsia="Courier New"/>
          <w:sz w:val="16"/>
        </w:rPr>
        <w:t xml:space="preserve">  maintenanceCostPerKm = input.maintenanceAnnualCost / annualTotalKm</w:t>
      </w:r>
    </w:p>
    <w:p>
      <w:pPr>
        <w:pStyle w:val="CodeBlock"/>
      </w:pPr>
      <w:r>
        <w:rPr>
          <w:rFonts w:ascii="Courier New" w:hAnsi="Courier New" w:eastAsia="Courier New"/>
          <w:sz w:val="16"/>
        </w:rPr>
        <w:t xml:space="preserve">  roadFeesCostPerKm = input.roadFeesAnnualCost / annualTotalKm</w:t>
      </w:r>
    </w:p>
    <w:p>
      <w:pPr>
        <w:pStyle w:val="CodeBlock"/>
      </w:pPr>
      <w:r>
        <w:rPr>
          <w:rFonts w:ascii="Courier New" w:hAnsi="Courier New" w:eastAsia="Courier New"/>
          <w:sz w:val="16"/>
        </w:rPr>
        <w:t xml:space="preserve">  variableCostPerKm = fuelCostPerKm + tyresCostPerKm + maintenanceCostPerKm + roadFeesCostPerKm</w:t>
      </w:r>
    </w:p>
    <w:p>
      <w:pPr>
        <w:pStyle w:val="CodeBlock"/>
      </w:pPr>
      <w:r>
        <w:rPr>
          <w:rFonts w:ascii="Courier New" w:hAnsi="Courier New" w:eastAsia="Courier New"/>
          <w:sz w:val="16"/>
        </w:rPr>
        <w:t xml:space="preserve">  variableAnnualCost = variableCostPerKm * annualTotalKm</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employerContributionAnnual = input.driverSalaryAnnual * taxProfile.employerContributionRate</w:t>
      </w:r>
    </w:p>
    <w:p>
      <w:pPr>
        <w:pStyle w:val="CodeBlock"/>
      </w:pPr>
      <w:r>
        <w:rPr>
          <w:rFonts w:ascii="Courier New" w:hAnsi="Courier New" w:eastAsia="Courier New"/>
          <w:sz w:val="16"/>
        </w:rPr>
        <w:t xml:space="preserve">  annualPerDiem = input.driverPerDiemDaily * input.operatingDaysPerYear</w:t>
      </w:r>
    </w:p>
    <w:p>
      <w:pPr>
        <w:pStyle w:val="CodeBlock"/>
      </w:pPr>
      <w:r>
        <w:rPr>
          <w:rFonts w:ascii="Courier New" w:hAnsi="Courier New" w:eastAsia="Courier New"/>
          <w:sz w:val="16"/>
        </w:rPr>
        <w:t xml:space="preserve">  driverAnnualCost = input.driverSalaryAnnual + employerContributionAnnual + annualPerDiem</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vehicleFixedAnnualCost = input.ownershipOrLeasingAnnual + input.insuranceAnnual + input.vehicleTaxAnnual</w:t>
      </w:r>
    </w:p>
    <w:p>
      <w:pPr>
        <w:pStyle w:val="CodeBlock"/>
      </w:pPr>
      <w:r>
        <w:rPr>
          <w:rFonts w:ascii="Courier New" w:hAnsi="Courier New" w:eastAsia="Courier New"/>
          <w:sz w:val="16"/>
        </w:rPr>
        <w:t xml:space="preserve">  totalAnnualCost = variableAnnualCost + driverAnnualCost + vehicleFixedAnnualCost + input.structuralIndirectCostsAnnual</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breakEvenPerLoadedKm = totalAnnualCost / loadedKmYear</w:t>
      </w:r>
    </w:p>
    <w:p>
      <w:pPr>
        <w:pStyle w:val="CodeBlock"/>
      </w:pPr>
      <w:r>
        <w:rPr>
          <w:rFonts w:ascii="Courier New" w:hAnsi="Courier New" w:eastAsia="Courier New"/>
          <w:sz w:val="16"/>
        </w:rPr>
        <w:t xml:space="preserve">  breakEvenPerTonneKm = totalAnnualCost / annualTonneKm</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customerRateExclVat = breakEvenPerLoadedKm * (1 + input.markupPercentage)</w:t>
      </w:r>
    </w:p>
    <w:p>
      <w:pPr>
        <w:pStyle w:val="CodeBlock"/>
      </w:pPr>
      <w:r>
        <w:rPr>
          <w:rFonts w:ascii="Courier New" w:hAnsi="Courier New" w:eastAsia="Courier New"/>
          <w:sz w:val="16"/>
        </w:rPr>
        <w:t xml:space="preserve">  customerRateInclVat = customerRateExclVat * (1 + taxProfile.vatRate)</w:t>
      </w:r>
    </w:p>
    <w:p>
      <w:pPr>
        <w:pStyle w:val="CodeBlock"/>
      </w:pPr>
      <w:r>
        <w:rPr>
          <w:rFonts w:ascii="Courier New" w:hAnsi="Courier New" w:eastAsia="Courier New"/>
          <w:sz w:val="16"/>
        </w:rPr>
        <w:t xml:space="preserve">  annualRevenueExclVat = customerRateExclVat * loadedKmYear</w:t>
      </w:r>
    </w:p>
    <w:p>
      <w:pPr>
        <w:pStyle w:val="CodeBlock"/>
      </w:pPr>
      <w:r>
        <w:rPr>
          <w:rFonts w:ascii="Courier New" w:hAnsi="Courier New" w:eastAsia="Courier New"/>
          <w:sz w:val="16"/>
        </w:rPr>
        <w:t xml:space="preserve">  vatCollected = annualRevenueExclVat * taxProfile.vatRate</w:t>
      </w:r>
    </w:p>
    <w:p>
      <w:pPr>
        <w:pStyle w:val="CodeBlock"/>
      </w:pPr>
      <w:r>
        <w:rPr>
          <w:rFonts w:ascii="Courier New" w:hAnsi="Courier New" w:eastAsia="Courier New"/>
          <w:sz w:val="16"/>
        </w:rPr>
        <w:t xml:space="preserve">  invoiceValueInclVat = annualRevenueExclVat + vatCollected</w:t>
      </w:r>
    </w:p>
    <w:p>
      <w:pPr>
        <w:pStyle w:val="CodeBlock"/>
      </w:pPr>
      <w:r>
        <w:rPr>
          <w:rFonts w:ascii="Courier New" w:hAnsi="Courier New" w:eastAsia="Courier New"/>
          <w:sz w:val="16"/>
        </w:rPr>
        <w:t xml:space="preserve">  ebitBeforeTax = annualRevenueExclVat - totalAnnualCost</w:t>
      </w:r>
    </w:p>
    <w:p>
      <w:pPr>
        <w:pStyle w:val="CodeBlock"/>
      </w:pPr>
      <w:r>
        <w:rPr>
          <w:rFonts w:ascii="Courier New" w:hAnsi="Courier New" w:eastAsia="Courier New"/>
          <w:sz w:val="16"/>
        </w:rPr>
        <w:t xml:space="preserve">  businessTax = max(0, ebitBeforeTax * taxProfile.effectiveBusinessTaxRate)</w:t>
      </w:r>
    </w:p>
    <w:p>
      <w:pPr>
        <w:pStyle w:val="CodeBlock"/>
      </w:pPr>
      <w:r>
        <w:rPr>
          <w:rFonts w:ascii="Courier New" w:hAnsi="Courier New" w:eastAsia="Courier New"/>
          <w:sz w:val="16"/>
        </w:rPr>
        <w:t xml:space="preserve">  profitAfterTax = ebitBeforeTax - businessTax</w:t>
      </w:r>
    </w:p>
    <w:p>
      <w:pPr>
        <w:pStyle w:val="CodeBlock"/>
      </w:pPr>
      <w:r>
        <w:rPr>
          <w:rFonts w:ascii="Courier New" w:hAnsi="Courier New" w:eastAsia="Courier New"/>
          <w:sz w:val="16"/>
        </w:rPr>
        <w:t xml:space="preserve">  afterTaxMargin = profitAfterTax / annualRevenueExclVat</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return result</w:t>
      </w:r>
    </w:p>
    <w:p>
      <w:pPr>
        <w:pStyle w:val="CodeBlock"/>
      </w:pPr>
      <w:r>
        <w:rPr>
          <w:rFonts w:ascii="Courier New" w:hAnsi="Courier New" w:eastAsia="Courier New"/>
          <w:sz w:val="16"/>
        </w:rPr>
        <w:t>}</w:t>
      </w:r>
    </w:p>
    <w:p>
      <w:pPr>
        <w:pStyle w:val="Heading2"/>
      </w:pPr>
      <w:r>
        <w:t>23.4 Implementation Guardrails</w:t>
      </w:r>
    </w:p>
    <w:p>
      <w:pPr>
        <w:pStyle w:val="ListBullet"/>
      </w:pPr>
      <w:r>
        <w:t>Do not implement calculation formulas directly in React components.</w:t>
      </w:r>
    </w:p>
    <w:p>
      <w:pPr>
        <w:pStyle w:val="ListBullet"/>
      </w:pPr>
      <w:r>
        <w:t>Do not accept customer rate as an operational input.</w:t>
      </w:r>
    </w:p>
    <w:p>
      <w:pPr>
        <w:pStyle w:val="ListBullet"/>
      </w:pPr>
      <w:r>
        <w:t>Do not merge VAT into revenue or profit.</w:t>
      </w:r>
    </w:p>
    <w:p>
      <w:pPr>
        <w:pStyle w:val="ListBullet"/>
      </w:pPr>
      <w:r>
        <w:t>Do not update historical calculation runs when reference data changes.</w:t>
      </w:r>
    </w:p>
    <w:p>
      <w:pPr>
        <w:pStyle w:val="ListBullet"/>
      </w:pPr>
      <w:r>
        <w:t>Do not allow unvalidated division denominators.</w:t>
      </w:r>
    </w:p>
    <w:p>
      <w:pPr>
        <w:pStyle w:val="ListBullet"/>
      </w:pPr>
      <w:r>
        <w:t>Do not hide the tax-source date from the user.</w:t>
      </w:r>
    </w:p>
    <w:p>
      <w:pPr>
        <w:pStyle w:val="ListBullet"/>
      </w:pPr>
      <w:r>
        <w:t>Do not allow direct production tax-rule edits without audit logging.</w:t>
      </w:r>
    </w:p>
    <w:p>
      <w:pPr>
        <w:pStyle w:val="Heading2"/>
      </w:pPr>
      <w:r>
        <w:t>23.5 Immediate Next Development Step</w:t>
      </w:r>
    </w:p>
    <w:p>
      <w:r>
        <w:t>The next practical development step is Sprint 1: implement the backend TypeScript calculation engine and POST /api/calculations/preview endpoint, then validate the endpoint against the baseline payload in this blueprint and against the protected Excel workbook outputs.</w:t>
      </w:r>
    </w:p>
    <w:tbl>
      <w:tblPr>
        <w:tblStyle w:val="TableGrid"/>
        <w:tblW w:type="auto" w:w="0"/>
        <w:tblLook w:firstColumn="1" w:firstRow="1" w:lastColumn="0" w:lastRow="0" w:noHBand="0" w:noVBand="1" w:val="04A0"/>
      </w:tblPr>
      <w:tblGrid>
        <w:gridCol w:w="10368"/>
      </w:tblGrid>
      <w:tr>
        <w:tc>
          <w:tcPr>
            <w:tcW w:type="dxa" w:w="10368"/>
            <w:shd w:fill="0F766E"/>
          </w:tcPr>
          <w:p>
            <w:r/>
            <w:r>
              <w:rPr>
                <w:b/>
                <w:color w:val="FFFFFF"/>
                <w:sz w:val="17"/>
              </w:rPr>
              <w:t>Blueprint completion status</w:t>
            </w:r>
          </w:p>
        </w:tc>
      </w:tr>
      <w:tr>
        <w:tc>
          <w:tcPr>
            <w:tcW w:type="dxa" w:w="10368"/>
            <w:shd w:fill="ECFDF5"/>
          </w:tcPr>
          <w:p>
            <w:r/>
            <w:r>
              <w:rPr>
                <w:sz w:val="18"/>
              </w:rPr>
              <w:t>This document is valid for implementation. The critical product logic, data model, API boundaries, frontend flow, validation rules, governance controls, testing strategy and sprint acceptance criteria are defined. During development, every formula change must be reviewed against this blueprint and covered by a unit test.</w:t>
            </w:r>
          </w:p>
        </w:tc>
      </w:tr>
    </w:tbl>
    <w:sectPr>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Implementation blueprint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Transport Break-even Engine WebApp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