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Transport Break-even Engine</w:t>
      </w:r>
    </w:p>
    <w:p>
      <w:pPr>
        <w:jc w:val="center"/>
      </w:pPr>
      <w:r>
        <w:rPr>
          <w:color w:val="334155"/>
          <w:sz w:val="32"/>
        </w:rPr>
        <w:t>Blueprint Add-on: Webapp Process Map and Operating Model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E2E8F0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Field</w:t>
            </w:r>
          </w:p>
        </w:tc>
        <w:tc>
          <w:tcPr>
            <w:tcW w:type="dxa" w:w="6912"/>
            <w:shd w:fill="E2E8F0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Document type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Blueprint add-on documentation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v1.0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Date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7 May 2026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Project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Transport Break-even Engine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Scope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Business process, technical process, deployment process, ownership model and change-management rules</w:t>
            </w:r>
          </w:p>
        </w:tc>
      </w:tr>
    </w:tbl>
    <w:p/>
    <w:p>
      <w:pPr>
        <w:jc w:val="center"/>
      </w:pPr>
      <w:r>
        <w:rPr>
          <w:b/>
          <w:color w:val="0F172A"/>
          <w:sz w:val="26"/>
        </w:rPr>
        <w:t>Purpose</w:t>
      </w:r>
    </w:p>
    <w:p>
      <w:pPr>
        <w:spacing w:after="240"/>
        <w:jc w:val="center"/>
      </w:pPr>
      <w:r>
        <w:t>This document extends the project blueprint with a practical process map for the web application. It explains how user inputs move through the frontend, shared calculation engine, backend API, database, saved history, export layer and deployment pipeline.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Transport Break-even Engine is not only a calculator. It is a controlled pricing workspace. It converts transport assumptions into operational, commercial and audit-ready outputs, while keeping the calculation path traceable from input to result.</w:t>
      </w:r>
    </w:p>
    <w:p>
      <w:r>
        <w:t>The application should be managed through three connected processes:</w:t>
      </w:r>
    </w:p>
    <w:p>
      <w:pPr>
        <w:pStyle w:val="ListBullet"/>
      </w:pPr>
      <w:r>
        <w:t>Business process: user assumptions become pricing and break-even decisions.</w:t>
      </w:r>
    </w:p>
    <w:p>
      <w:pPr>
        <w:pStyle w:val="ListBullet"/>
      </w:pPr>
      <w:r>
        <w:t>Technical process: frontend, shared engine, backend and database cooperate to calculate, persist and export runs.</w:t>
      </w:r>
    </w:p>
    <w:p>
      <w:pPr>
        <w:pStyle w:val="ListBullet"/>
      </w:pPr>
      <w:r>
        <w:t>Deployment process: code changes move through GitHub main and Render before live validation.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2E8F0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Layer</w:t>
            </w:r>
          </w:p>
        </w:tc>
        <w:tc>
          <w:tcPr>
            <w:tcW w:type="dxa" w:w="5040"/>
            <w:shd w:fill="E2E8F0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Role in the project</w:t>
            </w:r>
          </w:p>
        </w:tc>
      </w:tr>
      <w:tr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Frontend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User workspace for dashboard, company setup, fleet inputs, results, pricing, sensitivity and history.</w:t>
            </w:r>
          </w:p>
        </w:tc>
      </w:tr>
      <w:tr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Shared engine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Calculation truth for break-even, fleet aggregation, pricing scenarios and sensitivity logic.</w:t>
            </w:r>
          </w:p>
        </w:tc>
      </w:tr>
      <w:tr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Backend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API coordinator for reference data, preview calculation, saved runs, history, deletion, export and audit.</w:t>
            </w:r>
          </w:p>
        </w:tc>
      </w:tr>
      <w:tr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Database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Memory and audit layer for reference data, saved snapshots, results, pricing scenarios and logs.</w:t>
            </w:r>
          </w:p>
        </w:tc>
      </w:tr>
      <w:tr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GitHub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Source of truth for code and documentation.</w:t>
            </w:r>
          </w:p>
        </w:tc>
      </w:tr>
      <w:tr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Render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Live deployment layer for frontend and backend services.</w:t>
            </w:r>
          </w:p>
        </w:tc>
      </w:tr>
    </w:tbl>
    <w:p/>
    <w:p>
      <w:pPr>
        <w:pStyle w:val="Heading1"/>
      </w:pPr>
      <w:r>
        <w:t>2. Current Architecture Context</w:t>
      </w:r>
    </w:p>
    <w:p>
      <w:r>
        <w:t>The repository is organised as a monorepo with frontend, backend and shared workspaces. This matters because business design, calculation logic, API behaviour and data persistence are separated into distinct responsibility areas.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r>
              <w:rPr>
                <w:rFonts w:ascii="Courier New" w:hAnsi="Courier New"/>
                <w:color w:val="0F172A"/>
                <w:sz w:val="17"/>
              </w:rPr>
              <w:t>transport-break-even-engine</w:t>
            </w:r>
            <w:r>
              <w:br/>
            </w:r>
            <w:r>
              <w:rPr>
                <w:rFonts w:ascii="Courier New" w:hAnsi="Courier New"/>
                <w:color w:val="0F172A"/>
                <w:sz w:val="17"/>
              </w:rPr>
              <w:t>|-- frontend     React web application</w:t>
            </w:r>
            <w:r>
              <w:br/>
            </w:r>
            <w:r>
              <w:rPr>
                <w:rFonts w:ascii="Courier New" w:hAnsi="Courier New"/>
                <w:color w:val="0F172A"/>
                <w:sz w:val="17"/>
              </w:rPr>
              <w:t>|-- backend      API, persistence, migrations, exports</w:t>
            </w:r>
            <w:r>
              <w:br/>
            </w:r>
            <w:r>
              <w:rPr>
                <w:rFonts w:ascii="Courier New" w:hAnsi="Courier New"/>
                <w:color w:val="0F172A"/>
                <w:sz w:val="17"/>
              </w:rPr>
              <w:t>|-- shared       Blueprint calculation engine and tests</w:t>
            </w:r>
            <w:r>
              <w:br/>
            </w:r>
          </w:p>
        </w:tc>
      </w:tr>
    </w:tbl>
    <w:p/>
    <w:p>
      <w:r>
        <w:t>The root project scripts support frontend development, backend development, database migration, seed data, frontend build and tests. This means the project can be operated as a controlled engineering workflow rather than a set of isolated files.</w:t>
      </w:r>
    </w:p>
    <w:p>
      <w:pPr>
        <w:pStyle w:val="Heading1"/>
      </w:pPr>
      <w:r>
        <w:t>3. Business Process Map</w:t>
      </w:r>
    </w:p>
    <w:p>
      <w:r>
        <w:t>The business process starts when the user opens the webapp and ends when a calculation run is saved, reviewed, exported or used for pricing decisions.</w:t>
      </w:r>
    </w:p>
    <w:p>
      <w:r>
        <w:drawing>
          <wp:inline xmlns:a="http://schemas.openxmlformats.org/drawingml/2006/main" xmlns:pic="http://schemas.openxmlformats.org/drawingml/2006/picture">
            <wp:extent cx="6172200" cy="253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process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3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Business interpretation:</w:t>
      </w:r>
    </w:p>
    <w:p>
      <w:pPr>
        <w:pStyle w:val="ListBullet"/>
      </w:pPr>
      <w:r>
        <w:t>The Dashboard gives the user a quick view of the current scenario.</w:t>
      </w:r>
    </w:p>
    <w:p>
      <w:pPr>
        <w:pStyle w:val="ListBullet"/>
      </w:pPr>
      <w:r>
        <w:t>Company and Tax setup defines the commercial and jurisdictional modelling context.</w:t>
      </w:r>
    </w:p>
    <w:p>
      <w:pPr>
        <w:pStyle w:val="ListBullet"/>
      </w:pPr>
      <w:r>
        <w:t>Fleet inputs define the operating assumptions for one or more vehicle groups.</w:t>
      </w:r>
    </w:p>
    <w:p>
      <w:pPr>
        <w:pStyle w:val="ListBullet"/>
      </w:pPr>
      <w:r>
        <w:t>Calculation produces break-even, pricing and sensitivity outputs.</w:t>
      </w:r>
    </w:p>
    <w:p>
      <w:pPr>
        <w:pStyle w:val="ListBullet"/>
      </w:pPr>
      <w:r>
        <w:t>History and export make the run reusable, auditable and suitable for later comparison.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2E8F0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Stage</w:t>
            </w:r>
          </w:p>
        </w:tc>
        <w:tc>
          <w:tcPr>
            <w:tcW w:type="dxa" w:w="3360"/>
            <w:shd w:fill="E2E8F0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User action</w:t>
            </w:r>
          </w:p>
        </w:tc>
        <w:tc>
          <w:tcPr>
            <w:tcW w:type="dxa" w:w="3360"/>
            <w:shd w:fill="E2E8F0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Business output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Dashboard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Open the webapp and inspect the scenario overview.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Initial orientation and status.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Company and Tax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Select country, company type, business model and VAT status.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Commercial modelling context.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Fleet Inputs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Enter fleet, vehicle group, load, cost and pricing assumptions.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Operational scenario definition.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Break-even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Calculate and review annual cost, loaded-km break-even and tonne-km break-even.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Core pricing floor.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Pricing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Review markup-based customer rates and profit impact.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Commercial price decision support.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Sensitivity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Stress key assumptions such as fuel, load factor, payload and markup.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Risk visibility.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History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Open, duplicate, delete or export saved runs.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Traceability and reuse.</w:t>
            </w:r>
          </w:p>
        </w:tc>
      </w:tr>
    </w:tbl>
    <w:p/>
    <w:p>
      <w:pPr>
        <w:pStyle w:val="Heading1"/>
      </w:pPr>
      <w:r>
        <w:t>4. Technical Process Map</w:t>
      </w:r>
    </w:p>
    <w:p>
      <w:r>
        <w:t>The technical process describes how the frontend, backend, shared calculation engine and database cooperate during calculation and persistence.</w:t>
      </w:r>
    </w:p>
    <w:p>
      <w:r>
        <w:drawing>
          <wp:inline xmlns:a="http://schemas.openxmlformats.org/drawingml/2006/main" xmlns:pic="http://schemas.openxmlformats.org/drawingml/2006/picture">
            <wp:extent cx="6172200" cy="33363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process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36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Technical interpretation:</w:t>
      </w:r>
    </w:p>
    <w:p>
      <w:pPr>
        <w:pStyle w:val="ListBullet"/>
      </w:pPr>
      <w:r>
        <w:t>The frontend loads reference data from the backend when available.</w:t>
      </w:r>
    </w:p>
    <w:p>
      <w:pPr>
        <w:pStyle w:val="ListBullet"/>
      </w:pPr>
      <w:r>
        <w:t>When the backend is not available, the frontend can still show a local preview through bundled reference data and the shared engine.</w:t>
      </w:r>
    </w:p>
    <w:p>
      <w:pPr>
        <w:pStyle w:val="ListBullet"/>
      </w:pPr>
      <w:r>
        <w:t>Preview calculation can use backend APIs for calculation, pricing and sensitivity.</w:t>
      </w:r>
    </w:p>
    <w:p>
      <w:pPr>
        <w:pStyle w:val="ListBullet"/>
      </w:pPr>
      <w:r>
        <w:t>Saved runs require backend support because they need persistence, history and export capability.</w:t>
      </w:r>
    </w:p>
    <w:p>
      <w:pPr>
        <w:pStyle w:val="ListBullet"/>
      </w:pPr>
      <w:r>
        <w:t>When DATABASE_URL is configured, saved data persists in Postgres. Without it, local development can fall back to memory 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2E8F0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Technical step</w:t>
            </w:r>
          </w:p>
        </w:tc>
        <w:tc>
          <w:tcPr>
            <w:tcW w:type="dxa" w:w="3360"/>
            <w:shd w:fill="E2E8F0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Description</w:t>
            </w:r>
          </w:p>
        </w:tc>
        <w:tc>
          <w:tcPr>
            <w:tcW w:type="dxa" w:w="3360"/>
            <w:shd w:fill="E2E8F0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Risk if broken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Reference loading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The frontend requests reference, tax and vehicle data.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The user sees missing or outdated modelling choices.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Input normalisation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User inputs are converted into a calculation-ready payload.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Wrong units or empty values may distort results.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Preview calculation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The shared engine calculates break-even, pricing and sensitivity outputs.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The pricing decision becomes unreliable.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Save run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The backend persists input, tax, vehicle and result snapshots.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History, audit and comparison are lost.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History actions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Saved runs can be opened, duplicated, deleted and exported.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The user cannot reuse prior scenarios.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Export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A JSON audit pack can be generated for a saved run.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Traceability becomes weak for commercial review.</w:t>
            </w:r>
          </w:p>
        </w:tc>
      </w:tr>
    </w:tbl>
    <w:p/>
    <w:p>
      <w:r>
        <w:br w:type="page"/>
      </w:r>
    </w:p>
    <w:p>
      <w:pPr>
        <w:pStyle w:val="Heading1"/>
      </w:pPr>
      <w:r>
        <w:t>5. API Process Catalogue</w:t>
      </w:r>
    </w:p>
    <w:p>
      <w:r>
        <w:t>The API should be understood as the process coordinator between frontend actions, calculation logic, database persistence and audit/export behaviour.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2E8F0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API group</w:t>
            </w:r>
          </w:p>
        </w:tc>
        <w:tc>
          <w:tcPr>
            <w:tcW w:type="dxa" w:w="3360"/>
            <w:shd w:fill="E2E8F0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Endpoint examples</w:t>
            </w:r>
          </w:p>
        </w:tc>
        <w:tc>
          <w:tcPr>
            <w:tcW w:type="dxa" w:w="3360"/>
            <w:shd w:fill="E2E8F0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Process role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Reference and tax cascade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GET /api/countries</w:t>
              <w:br/>
              <w:t>GET /api/countries/:countryId/company-types</w:t>
              <w:br/>
              <w:t>GET /api/business-models</w:t>
              <w:br/>
              <w:t>GET /api/vehicle-classes</w:t>
              <w:br/>
              <w:t>GET /api/tax-profile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Provides the modelling context required before calculation.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Calculation preview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POST /api/calculations/preview</w:t>
              <w:br/>
              <w:t>POST /api/pricing-scenarios/preview</w:t>
              <w:br/>
              <w:t>POST /api/sensitivity/preview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Generates non-persistent calculation, pricing and sensitivity previews.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Saved runs and history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POST /api/calculations</w:t>
              <w:br/>
              <w:t>GET /api/calculations</w:t>
              <w:br/>
              <w:t>GET /api/calculations/:id</w:t>
              <w:br/>
              <w:t>DELETE /api/calculations/:id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Persists, retrieves and deletes calculation runs.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Audit and export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GET /api/audit-log</w:t>
              <w:br/>
              <w:t>GET /api/exports/:calculationRunId/json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Supports traceability and export-ready documentation.</w:t>
            </w:r>
          </w:p>
        </w:tc>
      </w:tr>
    </w:tbl>
    <w:p/>
    <w:p>
      <w:pPr>
        <w:pStyle w:val="Heading1"/>
      </w:pPr>
      <w:r>
        <w:t>6. Data Persistence Process</w:t>
      </w:r>
    </w:p>
    <w:p>
      <w:r>
        <w:t>The data layer must preserve the relationship between assumptions, formulas, results and commercial decisions. Saved runs should therefore be treated as immutable snapshots rather than temporary UI states.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2E8F0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Data area</w:t>
            </w:r>
          </w:p>
        </w:tc>
        <w:tc>
          <w:tcPr>
            <w:tcW w:type="dxa" w:w="5040"/>
            <w:shd w:fill="E2E8F0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Purpose</w:t>
            </w:r>
          </w:p>
        </w:tc>
      </w:tr>
      <w:tr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calculation_runs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Stores the saved run identity, name and input context.</w:t>
            </w:r>
          </w:p>
        </w:tc>
      </w:tr>
      <w:tr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calculation_results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Stores calculated result snapshots.</w:t>
            </w:r>
          </w:p>
        </w:tc>
      </w:tr>
      <w:tr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pricing_scenarios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Stores markup and customer-rate scenario outputs.</w:t>
            </w:r>
          </w:p>
        </w:tc>
      </w:tr>
      <w:tr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audit_log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Stores events that support traceability.</w:t>
            </w:r>
          </w:p>
        </w:tc>
      </w:tr>
    </w:tbl>
    <w:p/>
    <w:p>
      <w:r>
        <w:t>Database behaviour rule:</w:t>
      </w:r>
    </w:p>
    <w:p>
      <w:pPr>
        <w:pStyle w:val="ListBullet"/>
      </w:pPr>
      <w:r>
        <w:t>Production and serious testing should use DATABASE_URL and Postgres.</w:t>
      </w:r>
    </w:p>
    <w:p>
      <w:pPr>
        <w:pStyle w:val="ListBullet"/>
      </w:pPr>
      <w:r>
        <w:t>In-memory storage is acceptable only for local development and temporary testing.</w:t>
      </w:r>
    </w:p>
    <w:p>
      <w:pPr>
        <w:pStyle w:val="ListBullet"/>
      </w:pPr>
      <w:r>
        <w:t>A saved commercial run should always be backed by persistent storage.</w:t>
      </w:r>
    </w:p>
    <w:p>
      <w:r>
        <w:br w:type="page"/>
      </w:r>
    </w:p>
    <w:p>
      <w:pPr>
        <w:pStyle w:val="Heading1"/>
      </w:pPr>
      <w:r>
        <w:t>7. Deployment Process Map</w:t>
      </w:r>
    </w:p>
    <w:p>
      <w:r>
        <w:t>The deployment process defines how a design, frontend, backend or database-related change becomes visible on the live webapp.</w:t>
      </w:r>
    </w:p>
    <w:p>
      <w:r>
        <w:drawing>
          <wp:inline xmlns:a="http://schemas.openxmlformats.org/drawingml/2006/main" xmlns:pic="http://schemas.openxmlformats.org/drawingml/2006/picture">
            <wp:extent cx="6172200" cy="27885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process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885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2E8F0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Step</w:t>
            </w:r>
          </w:p>
        </w:tc>
        <w:tc>
          <w:tcPr>
            <w:tcW w:type="dxa" w:w="3360"/>
            <w:shd w:fill="E2E8F0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Required action</w:t>
            </w:r>
          </w:p>
        </w:tc>
        <w:tc>
          <w:tcPr>
            <w:tcW w:type="dxa" w:w="3360"/>
            <w:shd w:fill="E2E8F0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Control point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1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Identify whether the change affects frontend, backend, shared engine, database or deployment.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No blind changes.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2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Implement the change in the smallest affected area.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Limit regression risk.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3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Run build or relevant validation.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Confirm the app still compiles or tests pass.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4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Run git status before commit.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Confirm changed files are intentional.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5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Commit and push to main.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GitHub becomes the source of truth.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6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Render deploys the affected service.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Frontend or backend becomes live.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7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Test the live page or API.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Validate production behaviour, not only local behaviour.</w:t>
            </w:r>
          </w:p>
        </w:tc>
      </w:tr>
    </w:tbl>
    <w:p/>
    <w:p>
      <w:pPr>
        <w:pStyle w:val="Heading1"/>
      </w:pPr>
      <w:r>
        <w:t>8. Change Management Rule</w:t>
      </w:r>
    </w:p>
    <w:p>
      <w:r>
        <w:t>Every change should follow the same controlled sequence: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r>
              <w:rPr>
                <w:rFonts w:ascii="Courier New" w:hAnsi="Courier New"/>
                <w:color w:val="0F172A"/>
                <w:sz w:val="17"/>
              </w:rPr>
              <w:t>request</w:t>
            </w:r>
            <w:r>
              <w:br/>
            </w:r>
            <w:r>
              <w:rPr>
                <w:rFonts w:ascii="Courier New" w:hAnsi="Courier New"/>
                <w:color w:val="0F172A"/>
                <w:sz w:val="17"/>
              </w:rPr>
              <w:t>-&gt; identify affected process</w:t>
            </w:r>
            <w:r>
              <w:br/>
            </w:r>
            <w:r>
              <w:rPr>
                <w:rFonts w:ascii="Courier New" w:hAnsi="Courier New"/>
                <w:color w:val="0F172A"/>
                <w:sz w:val="17"/>
              </w:rPr>
              <w:t>-&gt; identify affected file or component</w:t>
            </w:r>
            <w:r>
              <w:br/>
            </w:r>
            <w:r>
              <w:rPr>
                <w:rFonts w:ascii="Courier New" w:hAnsi="Courier New"/>
                <w:color w:val="0F172A"/>
                <w:sz w:val="17"/>
              </w:rPr>
              <w:t>-&gt; implement only that change</w:t>
            </w:r>
            <w:r>
              <w:br/>
            </w:r>
            <w:r>
              <w:rPr>
                <w:rFonts w:ascii="Courier New" w:hAnsi="Courier New"/>
                <w:color w:val="0F172A"/>
                <w:sz w:val="17"/>
              </w:rPr>
              <w:t>-&gt; run validation</w:t>
            </w:r>
            <w:r>
              <w:br/>
            </w:r>
            <w:r>
              <w:rPr>
                <w:rFonts w:ascii="Courier New" w:hAnsi="Courier New"/>
                <w:color w:val="0F172A"/>
                <w:sz w:val="17"/>
              </w:rPr>
              <w:t>-&gt; git status</w:t>
            </w:r>
            <w:r>
              <w:br/>
            </w:r>
            <w:r>
              <w:rPr>
                <w:rFonts w:ascii="Courier New" w:hAnsi="Courier New"/>
                <w:color w:val="0F172A"/>
                <w:sz w:val="17"/>
              </w:rPr>
              <w:t>-&gt; commit</w:t>
            </w:r>
            <w:r>
              <w:br/>
            </w:r>
            <w:r>
              <w:rPr>
                <w:rFonts w:ascii="Courier New" w:hAnsi="Courier New"/>
                <w:color w:val="0F172A"/>
                <w:sz w:val="17"/>
              </w:rPr>
              <w:t>-&gt; push to main</w:t>
            </w:r>
            <w:r>
              <w:br/>
            </w:r>
            <w:r>
              <w:rPr>
                <w:rFonts w:ascii="Courier New" w:hAnsi="Courier New"/>
                <w:color w:val="0F172A"/>
                <w:sz w:val="17"/>
              </w:rPr>
              <w:t>-&gt; test on Render</w:t>
            </w:r>
            <w:r>
              <w:br/>
            </w:r>
            <w:r>
              <w:rPr>
                <w:rFonts w:ascii="Courier New" w:hAnsi="Courier New"/>
                <w:color w:val="0F172A"/>
                <w:sz w:val="17"/>
              </w:rPr>
              <w:t>-&gt; confirm result</w:t>
            </w:r>
            <w:r>
              <w:br/>
            </w:r>
          </w:p>
        </w:tc>
      </w:tr>
    </w:tbl>
    <w:p/>
    <w:p>
      <w:r>
        <w:t>No design, calculation, database or deployment change should be made without knowing which process it affects.</w:t>
      </w:r>
    </w:p>
    <w:p>
      <w:pPr>
        <w:pStyle w:val="Heading1"/>
      </w:pPr>
      <w:r>
        <w:t>9. Process Ownership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2E8F0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Ownership area</w:t>
            </w:r>
          </w:p>
        </w:tc>
        <w:tc>
          <w:tcPr>
            <w:tcW w:type="dxa" w:w="3360"/>
            <w:shd w:fill="E2E8F0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Responsible for</w:t>
            </w:r>
          </w:p>
        </w:tc>
        <w:tc>
          <w:tcPr>
            <w:tcW w:type="dxa" w:w="3360"/>
            <w:shd w:fill="E2E8F0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Main risk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Frontend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Page layout, navigation, input forms, dashboard cards, result presentation, pricing tables, sensitivity tables, history view and user experience.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Breaking the user workflow or making calculation inputs unclear.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Shared engine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Calculation logic, formulas, fleet aggregation, pricing scenarios, sensitivity logic, precision rules and fallback local calculation.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Changing commercial results without traceability.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Backend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API endpoints, reference data loading, preview services, saved runs, history, delete logic, export generation, audit log and database connection.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The frontend looks correct, but save, history or export fail.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Database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Reference data, saved runs, calculation snapshots, pricing scenarios, audit records and future plan-vs-actual tables.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Loss of traceability between input, result and pricing decision.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Deployment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GitHub main branch, Render frontend deployment, Render backend deployment, environment variables and production validation.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Local version works, but live version fails.</w:t>
            </w:r>
          </w:p>
        </w:tc>
      </w:tr>
    </w:tbl>
    <w:p/>
    <w:p>
      <w:pPr>
        <w:pStyle w:val="Heading1"/>
      </w:pPr>
      <w:r>
        <w:t>10. Design Implementation Rule</w:t>
      </w:r>
    </w:p>
    <w:p>
      <w:r>
        <w:t>A design change must be treated as a controlled frontend change. Design work should improve clarity, usability and visual hierarchy without silently modifying calculation logic.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2E8F0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Design step</w:t>
            </w:r>
          </w:p>
        </w:tc>
        <w:tc>
          <w:tcPr>
            <w:tcW w:type="dxa" w:w="5040"/>
            <w:shd w:fill="E2E8F0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Rule</w:t>
            </w:r>
          </w:p>
        </w:tc>
      </w:tr>
      <w:tr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Map target page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Identify whether the change affects Dashboard, Company and Tax, Inputs, Results, Pricing, Sensitivity, Vehicles or History.</w:t>
            </w:r>
          </w:p>
        </w:tc>
      </w:tr>
      <w:tr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Identify affected component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Change only the related component or stylesheet area.</w:t>
            </w:r>
          </w:p>
        </w:tc>
      </w:tr>
      <w:tr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Check logic impact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If calculation logic is affected, split it into a separate implementation task.</w:t>
            </w:r>
          </w:p>
        </w:tc>
      </w:tr>
      <w:tr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Validate visually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Check the page after deployment on Render.</w:t>
            </w:r>
          </w:p>
        </w:tc>
      </w:tr>
      <w:tr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Lock the change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Once the live result is correct, keep the design stable until a new request is defined.</w:t>
            </w:r>
          </w:p>
        </w:tc>
      </w:tr>
    </w:tbl>
    <w:p/>
    <w:p>
      <w:pPr>
        <w:pStyle w:val="Heading1"/>
      </w:pPr>
      <w:r>
        <w:t>11. Future Blueprint Extensions</w:t>
      </w:r>
    </w:p>
    <w:p>
      <w:r>
        <w:t>The process map should later be extended with the annual planning layer and plan-vs-actual logic.</w:t>
      </w:r>
    </w:p>
    <w:p>
      <w:pPr>
        <w:pStyle w:val="ListBullet"/>
      </w:pPr>
      <w:r>
        <w:t>Annual plan-vs-actual process</w:t>
      </w:r>
    </w:p>
    <w:p>
      <w:pPr>
        <w:pStyle w:val="ListBullet"/>
      </w:pPr>
      <w:r>
        <w:t>Actual mileage update process</w:t>
      </w:r>
    </w:p>
    <w:p>
      <w:pPr>
        <w:pStyle w:val="ListBullet"/>
      </w:pPr>
      <w:r>
        <w:t>Monthly forecast recalculation process</w:t>
      </w:r>
    </w:p>
    <w:p>
      <w:pPr>
        <w:pStyle w:val="ListBullet"/>
      </w:pPr>
      <w:r>
        <w:t>Minimum, maximum and trend chart process</w:t>
      </w:r>
    </w:p>
    <w:p>
      <w:pPr>
        <w:pStyle w:val="ListBullet"/>
      </w:pPr>
      <w:r>
        <w:t>Role-based user process</w:t>
      </w:r>
    </w:p>
    <w:p>
      <w:pPr>
        <w:pStyle w:val="ListBullet"/>
      </w:pPr>
      <w:r>
        <w:t>Database audit process</w:t>
      </w:r>
    </w:p>
    <w:p>
      <w:pPr>
        <w:pStyle w:val="ListBullet"/>
      </w:pPr>
      <w:r>
        <w:t>Commercial approval workflow</w:t>
      </w:r>
    </w:p>
    <w:p>
      <w:r>
        <w:br w:type="page"/>
      </w:r>
    </w:p>
    <w:p>
      <w:pPr>
        <w:pStyle w:val="Heading1"/>
      </w:pPr>
      <w:r>
        <w:t>12. Final Architecture Statement</w:t>
      </w:r>
    </w:p>
    <w:p>
      <w:r>
        <w:t>The Transport Break-even Engine should be managed as a workflow-based web application.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r>
              <w:rPr>
                <w:rFonts w:ascii="Courier New" w:hAnsi="Courier New"/>
                <w:color w:val="0F172A"/>
                <w:sz w:val="17"/>
              </w:rPr>
              <w:t>Frontend = user workspace</w:t>
            </w:r>
            <w:r>
              <w:br/>
            </w:r>
            <w:r>
              <w:rPr>
                <w:rFonts w:ascii="Courier New" w:hAnsi="Courier New"/>
                <w:color w:val="0F172A"/>
                <w:sz w:val="17"/>
              </w:rPr>
              <w:t>Shared engine = calculation truth</w:t>
            </w:r>
            <w:r>
              <w:br/>
            </w:r>
            <w:r>
              <w:rPr>
                <w:rFonts w:ascii="Courier New" w:hAnsi="Courier New"/>
                <w:color w:val="0F172A"/>
                <w:sz w:val="17"/>
              </w:rPr>
              <w:t>Backend = process coordinator</w:t>
            </w:r>
            <w:r>
              <w:br/>
            </w:r>
            <w:r>
              <w:rPr>
                <w:rFonts w:ascii="Courier New" w:hAnsi="Courier New"/>
                <w:color w:val="0F172A"/>
                <w:sz w:val="17"/>
              </w:rPr>
              <w:t>Database = memory and audit layer</w:t>
            </w:r>
            <w:r>
              <w:br/>
            </w:r>
            <w:r>
              <w:rPr>
                <w:rFonts w:ascii="Courier New" w:hAnsi="Courier New"/>
                <w:color w:val="0F172A"/>
                <w:sz w:val="17"/>
              </w:rPr>
              <w:t>Render = deployment layer</w:t>
            </w:r>
            <w:r>
              <w:br/>
            </w:r>
            <w:r>
              <w:rPr>
                <w:rFonts w:ascii="Courier New" w:hAnsi="Courier New"/>
                <w:color w:val="0F172A"/>
                <w:sz w:val="17"/>
              </w:rPr>
              <w:t>GitHub = source of truth</w:t>
            </w:r>
            <w:r>
              <w:br/>
            </w:r>
          </w:p>
        </w:tc>
      </w:tr>
    </w:tbl>
    <w:p/>
    <w:p>
      <w:r>
        <w:t>This add-on bridges the blueprint and implementation. It explains not only what the app does, but how changes should move safely through the system.</w:t>
      </w:r>
    </w:p>
    <w:p>
      <w:pPr>
        <w:pStyle w:val="Heading1"/>
      </w:pPr>
      <w:r>
        <w:t>13. Source Notes</w:t>
      </w:r>
    </w:p>
    <w:p>
      <w:r>
        <w:t>This documentation was generated from the current project analysis and the public repository structure available during the conversation. Source files reviewed include README.md, package.json and frontend/src/App.jsx from the GitHub repository mariusciobanunautilus/mariusciobanunautilus-transport-break-even-engine.</w:t>
      </w:r>
    </w:p>
    <w:p>
      <w:r>
        <w:t>A FigJam version of the process map was also generated separately during the analysis workflow.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Transport Break-even Engine - Blueprint Process Map Add-on -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