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Result reports of</w:t>
      </w:r>
      <w:r>
        <w:t xml:space="preserve"> </w:t>
      </w:r>
      <w:r>
        <w:t xml:space="preserve">‘Inferring Competence on a Numerical Task’</w:t>
      </w:r>
    </w:p>
    <w:p>
      <w:pPr>
        <w:pStyle w:val="Date"/>
      </w:pPr>
      <w:r>
        <w:t xml:space="preserve">2025-11-17</w:t>
      </w:r>
    </w:p>
    <w:p>
      <w:pPr>
        <w:pStyle w:val="FirstParagraph"/>
      </w:pPr>
      <w:r>
        <w:t xml:space="preserve">                                                                                                                                                    </w:t>
      </w:r>
    </w:p>
    <w:p>
      <w:pPr>
        <w:pStyle w:val="Textkrper"/>
      </w:pPr>
      <w:r>
        <w:t xml:space="preserve"> </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w:t>
      </w:r>
      <w:r>
        <w:t xml:space="preserve"> </w:t>
      </w:r>
      <w:r>
        <w:t xml:space="preserve">“lmerTest”</w:t>
      </w:r>
      <w:r>
        <w:t xml:space="preserve"> </w:t>
      </w:r>
      <w:r>
        <w:t xml:space="preserve">package to obtain p-values via Satterthwaite’s degrees of freedom method (Kuznetsova et al., 2017). For other tests, the R packages used will be specified. For all statistical tests, alpha = 0.05.</w:t>
      </w:r>
    </w:p>
    <w:bookmarkStart w:id="24"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w:t>
      </w:r>
      <w:r>
        <w:t xml:space="preserve"> </w:t>
      </w:r>
      <w:r>
        <w:t xml:space="preserve">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20.29, p = .002; Temperature: Z = -12.67,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0.24, t(13) = 13, p = &lt; .001).</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0.92, t(1012) = 75.59, p = &lt; .001). The high correlation between perceived difficulty and true difficultyis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1" name="Picture"/>
            <a:graphic>
              <a:graphicData uri="http://schemas.openxmlformats.org/drawingml/2006/picture">
                <pic:pic>
                  <pic:nvPicPr>
                    <pic:cNvPr descr="figures/S1-fig-behav-1.png" id="22" name="Picture"/>
                    <pic:cNvPicPr>
                      <a:picLocks noChangeArrowheads="1" noChangeAspect="1"/>
                    </pic:cNvPicPr>
                  </pic:nvPicPr>
                  <pic:blipFill>
                    <a:blip r:embed="rId2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3" w:name="fig:S1-fig-behav"/>
      <w:bookmarkEnd w:id="23"/>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0.86, t(418) = 34.72,p &lt; .001). The strong correlation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t(303) = 44.51, p &lt; .001).</w:t>
      </w:r>
    </w:p>
    <w:p>
      <w:pPr>
        <w:pStyle w:val="Textkrper"/>
      </w:pPr>
      <w:r>
        <w:t xml:space="preserve">Confirming H2m with a linear model, we found that the worst performers’ were still very accurate in predicting which other questions the virtual agent would succeed at, with a high correlation between true and judged conditional probabilities (</w:t>
      </w:r>
      <m:oMath>
        <m:r>
          <m:t>β</m:t>
        </m:r>
      </m:oMath>
      <w:r>
        <w:t xml:space="preserve"> </w:t>
      </w:r>
      <w:r>
        <w:t xml:space="preserve">= 0.85, t(448) = 34.03, p &lt; .001).</w:t>
      </w:r>
    </w:p>
    <w:bookmarkEnd w:id="24"/>
    <w:bookmarkStart w:id="29"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ty m:val="p"/>
              <m:scr m:val="script"/>
            </m:rPr>
            <m:t>L</m:t>
          </m:r>
          <m:d>
            <m:dPr>
              <m:begChr m:val="("/>
              <m:endChr m:val=")"/>
              <m:sepChr m:val=""/>
              <m:grow/>
            </m:dPr>
            <m:e>
              <m:sSub>
                <m:e>
                  <m:r>
                    <m:rPr>
                      <m:sty m:val="p"/>
                      <m:scr m:val="script"/>
                    </m:rPr>
                    <m:t>M</m:t>
                  </m:r>
                </m:e>
                <m:sub>
                  <m:r>
                    <m:t>1</m:t>
                  </m:r>
                </m:sub>
              </m:sSub>
              <m:r>
                <m:rPr>
                  <m:sty m:val="p"/>
                </m:rPr>
                <m:t>∣</m:t>
              </m:r>
              <m:r>
                <m:t>x</m:t>
              </m:r>
            </m:e>
          </m:d>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d>
            <m:dPr>
              <m:begChr m:val="("/>
              <m:endChr m:val=")"/>
              <m:sepChr m:val=""/>
              <m:grow/>
            </m:dPr>
            <m:e>
              <m:r>
                <m:t>p</m:t>
              </m:r>
              <m:d>
                <m:dPr>
                  <m:begChr m:val="("/>
                  <m:endChr m:val=")"/>
                  <m:sepChr m:val=""/>
                  <m:grow/>
                </m:dPr>
                <m:e>
                  <m:sSub>
                    <m:e>
                      <m:r>
                        <m:t>x</m:t>
                      </m:r>
                    </m:e>
                    <m:sub>
                      <m:r>
                        <m:t>i</m:t>
                      </m:r>
                    </m:sub>
                  </m:sSub>
                </m:e>
              </m:d>
            </m:e>
          </m:d>
          <m:r>
            <m:rPr>
              <m:sty m:val="p"/>
            </m:rPr>
            <m:t>+</m:t>
          </m:r>
          <m:d>
            <m:dPr>
              <m:begChr m:val="("/>
              <m:endChr m:val=")"/>
              <m:sepChr m:val=""/>
              <m:grow/>
            </m:dPr>
            <m:e>
              <m:r>
                <m:t>1</m:t>
              </m:r>
              <m:r>
                <m:rPr>
                  <m:sty m:val="p"/>
                </m:rPr>
                <m:t>−</m:t>
              </m:r>
              <m:sSub>
                <m:e>
                  <m:r>
                    <m:t>y</m:t>
                  </m:r>
                </m:e>
                <m:sub>
                  <m:r>
                    <m:t>i</m:t>
                  </m:r>
                </m:sub>
              </m:sSub>
            </m:e>
          </m:d>
          <m:r>
            <m:rPr>
              <m:sty m:val="p"/>
            </m:rPr>
            <m:t>log</m:t>
          </m:r>
          <m:d>
            <m:dPr>
              <m:begChr m:val="("/>
              <m:endChr m:val=")"/>
              <m:sepChr m:val=""/>
              <m:grow/>
            </m:dPr>
            <m:e>
              <m:r>
                <m:t>1</m:t>
              </m:r>
              <m:r>
                <m:rPr>
                  <m:sty m:val="p"/>
                </m:rPr>
                <m:t>−</m:t>
              </m:r>
              <m:r>
                <m:t>p</m:t>
              </m:r>
              <m:d>
                <m:dPr>
                  <m:begChr m:val="("/>
                  <m:endChr m:val=")"/>
                  <m:sepChr m:val=""/>
                  <m:grow/>
                </m:dPr>
                <m:e>
                  <m:sSub>
                    <m:e>
                      <m:r>
                        <m:t>x</m:t>
                      </m:r>
                    </m:e>
                    <m:sub>
                      <m:r>
                        <m:t>i</m:t>
                      </m:r>
                    </m:sub>
                  </m:sSub>
                </m:e>
              </m:d>
            </m:e>
          </m:d>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Investigating</w:t>
      </w:r>
      <w:r>
        <w:t xml:space="preserve"> </w:t>
      </w:r>
      <w:r>
        <w:rPr>
          <w:b/>
          <w:bCs/>
        </w:rPr>
        <w:t xml:space="preserve">H3</w:t>
      </w:r>
      <w:r>
        <w:t xml:space="preserve">, we fit three linear models to compare the Main Model’s and the two heuristic models’ fit with participants’ answers, as well as how much variance in participant behaviour they explained. We found that our Main Model</w:t>
      </w:r>
      <w:r>
        <w:t xml:space="preserve"> </w:t>
      </w:r>
      <w:r>
        <w:t xml:space="preserve">was very strongly correlated with participant behaviour (</w:t>
      </w:r>
      <m:oMath>
        <m:r>
          <m:t>β</m:t>
        </m:r>
      </m:oMath>
      <w:r>
        <w:t xml:space="preserve"> </w:t>
      </w:r>
      <w:r>
        <w:t xml:space="preserve">= 0.94, t(418) = 58.29, p &lt; .001) and explained 89% of the variance in behaviour. The Threshold model showed lower correlation with the data (</w:t>
      </w:r>
      <m:oMath>
        <m:r>
          <m:t>β</m:t>
        </m:r>
      </m:oMath>
      <w:r>
        <w:t xml:space="preserve"> </w:t>
      </w:r>
      <w:r>
        <w:t xml:space="preserve">= 0.63, t(418) = 16.40, p &lt; .001) and explained 39% of the variance. The Anchor model was the weakest fit to the data (</w:t>
      </w:r>
      <m:oMath>
        <m:r>
          <m:t>β</m:t>
        </m:r>
      </m:oMath>
      <w:r>
        <w:t xml:space="preserve"> </w:t>
      </w:r>
      <w:r>
        <w:t xml:space="preserve">= 0.77, t(418) = 24.39, p &lt; .001), explaining 59% of the variance.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Textkrper"/>
      </w:pPr>
      <w:r>
        <w:drawing>
          <wp:inline>
            <wp:extent cx="5969000" cy="3686568"/>
            <wp:effectExtent b="0" l="0" r="0" t="0"/>
            <wp:docPr descr="Figure 2: Model comparison. Each data point is a pair of two questions." title="" id="26" name="Picture"/>
            <a:graphic>
              <a:graphicData uri="http://schemas.openxmlformats.org/drawingml/2006/picture">
                <pic:pic>
                  <pic:nvPicPr>
                    <pic:cNvPr descr="figures/S1-fig-model-comparison-1.png" id="27" name="Picture"/>
                    <pic:cNvPicPr>
                      <a:picLocks noChangeArrowheads="1" noChangeAspect="1"/>
                    </pic:cNvPicPr>
                  </pic:nvPicPr>
                  <pic:blipFill>
                    <a:blip r:embed="rId25"/>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18,259.96),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2,196.24, which indicates very strong evidence in favor of our Main Model according to the standard interpretation criteria (Raftery, 1995).</w:t>
      </w:r>
    </w:p>
    <w:p>
      <w:pPr>
        <w:pStyle w:val="TableCaption"/>
      </w:pPr>
      <w:bookmarkStart w:id="28" w:name="tab:S1-table"/>
      <w:bookmarkEnd w:id="28"/>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β</w:t>
            </w:r>
          </w:p>
        </w:tc>
      </w:tr>
      <w:tr>
        <w:trPr>
          <w:trHeight w:val="619"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2.53</w:t>
            </w:r>
          </w:p>
        </w:tc>
      </w:tr>
      <w:tr>
        <w:trPr>
          <w:trHeight w:val="619"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w:t>
            </w:r>
          </w:p>
        </w:tc>
      </w:tr>
      <w:tr>
        <w:trPr>
          <w:trHeight w:val="619"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29"/>
    <w:bookmarkStart w:id="33" w:name="exploratory-analysis"/>
    <w:p>
      <w:pPr>
        <w:pStyle w:val="berschrift2"/>
      </w:pPr>
      <w:r>
        <w:t xml:space="preserve">Exploratory Analysis</w:t>
      </w:r>
    </w:p>
    <w:p>
      <w:pPr>
        <w:pStyle w:val="FirstParagraph"/>
      </w:pPr>
      <w:r>
        <w:t xml:space="preserve">As further exploratory analysis, we investigated three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t(208) = 22.79, p &lt; .001. Failure:</w:t>
      </w:r>
      <w:r>
        <w:t xml:space="preserve"> </w:t>
      </w:r>
      <m:oMath>
        <m:r>
          <m:t>β</m:t>
        </m:r>
      </m:oMath>
      <w:r>
        <w:t xml:space="preserve"> </w:t>
      </w:r>
      <w:r>
        <w:t xml:space="preserve">= 0.83, t(208) = 21.26, p &lt; .001.)</w:t>
      </w:r>
    </w:p>
    <w:p>
      <w:pPr>
        <w:pStyle w:val="Textkrper"/>
      </w:pPr>
      <w:r>
        <w:drawing>
          <wp:inline>
            <wp:extent cx="5969000" cy="3686568"/>
            <wp:effectExtent b="0" l="0" r="0" t="0"/>
            <wp:docPr descr="Figure 3: Estimated Conditional Probability versus True Conditional Probability. Each data point is a pair of two questions.The red line represents the optimal prediction while the dark line represents the fit of the linear models." title="" id="31" name="Picture"/>
            <a:graphic>
              <a:graphicData uri="http://schemas.openxmlformats.org/drawingml/2006/picture">
                <pic:pic>
                  <pic:nvPicPr>
                    <pic:cNvPr descr="figures/S1-fig-behav-2-1.png" id="32" name="Picture"/>
                    <pic:cNvPicPr>
                      <a:picLocks noChangeArrowheads="1" noChangeAspect="1"/>
                    </pic:cNvPicPr>
                  </pic:nvPicPr>
                  <pic:blipFill>
                    <a:blip r:embed="rId30"/>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We finally investigated how the models compared when we allowed to the paramters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bookmarkEnd w:id="33"/>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2025-11-17T02:05:20Z</dcterms:created>
  <dcterms:modified xsi:type="dcterms:W3CDTF">2025-11-17T02:05:20Z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/Library/Frameworks/R.framework/Versions/4.5-arm64/Resources/library/papaja/rmd/apa6.csl</vt:lpwstr>
  </property>
  <property fmtid="{D5CDD505-2E9C-101B-9397-08002B2CF9AE}" pid="6" name="date">
    <vt:lpwstr>2025-11-17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linenumbers">
    <vt:lpwstr>False</vt:lpwstr>
  </property>
  <property fmtid="{D5CDD505-2E9C-101B-9397-08002B2CF9AE}" pid="13" name="mask">
    <vt:lpwstr>False</vt:lpwstr>
  </property>
  <property fmtid="{D5CDD505-2E9C-101B-9397-08002B2CF9AE}" pid="14" name="output">
    <vt:lpwstr/>
  </property>
  <property fmtid="{D5CDD505-2E9C-101B-9397-08002B2CF9AE}" pid="15" name="tablelist">
    <vt:lpwstr>False</vt:lpwstr>
  </property>
</Properties>
</file>