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ANEKS BIZNESOWY (PRD)</w:t>
      </w:r>
    </w:p>
    <w:p>
      <w:pPr>
        <w:spacing w:after="120"/>
      </w:pPr>
      <w:r>
        <w:rPr>
          <w:rFonts w:ascii="Arial" w:cs="Arial" w:eastAsia="Arial" w:hAnsi="Arial"/>
          <w:color w:val="5A5A5A"/>
          <w:sz w:val="24"/>
          <w:szCs w:val="24"/>
        </w:rPr>
        <w:t xml:space="preserve">Rozszerzenie Architektury Ról i Złożonych Przypadków Użycia (Cross-Company)</w:t>
      </w:r>
    </w:p>
    <w:p>
      <w:pPr>
        <w:spacing w:after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Data aktualizacji: 13 kwietnia 2026 r. (Europe/Warsaw)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Status: Zatwierdzony (Single Source of Truth)</w:t>
      </w:r>
    </w:p>
    <w:p>
      <w:pPr>
        <w:pBdr>
          <w:bottom w:val="single" w:color="1B3A5C" w:sz="6" w:space="8"/>
        </w:pBdr>
        <w:spacing w:after="200"/>
      </w:pPr>
    </w:p>
    <w:p>
      <w:pPr>
        <w:spacing w:after="120" w:line="300"/>
      </w:pPr>
      <w:r>
        <w:t xml:space="preserve">Poniższe definicje rozszerzają podstawowy model RBAC o relacje B2B2B (Many-to-Many), adresując złożone struktury organizacyjne i zewnętrzny consulting.</w:t>
      </w:r>
    </w:p>
    <w:p>
      <w:pPr>
        <w:pStyle w:val="Heading1"/>
      </w:pPr>
      <w:r>
        <w:t xml:space="preserve">1. Zaktualizowana Matryca Ról (Encje Cross-Tenant)</w:t>
      </w:r>
    </w:p>
    <w:p>
      <w:pPr>
        <w:spacing w:after="120" w:line="300"/>
      </w:pPr>
      <w:r>
        <w:t xml:space="preserve">Oprócz standardowego zestawu (Właściciel, Administrator, Manager, Pracownik, Księgowa), wprowadzamy trzy nowe profile behawioralne operujące na architekturze "Global IAM":</w:t>
      </w:r>
    </w:p>
    <w:p>
      <w:pPr>
        <w:pStyle w:val="Heading2"/>
      </w:pPr>
      <w:r>
        <w:t xml:space="preserve">1.1 Zewnętrzny Doradca / Freelancer (External Consultant)</w:t>
      </w:r>
    </w:p>
    <w:p>
      <w:pPr>
        <w:spacing w:after="120" w:line="300"/>
      </w:pPr>
      <w:r>
        <w:rPr>
          <w:b/>
          <w:bCs/>
        </w:rPr>
        <w:t xml:space="preserve">Kontekst:</w:t>
      </w:r>
    </w:p>
    <w:p>
      <w:pPr>
        <w:spacing w:after="120" w:line="300"/>
      </w:pPr>
      <w:r>
        <w:t xml:space="preserve">Niezależny ekspert (np. coach, doradca podatkowy, zewnętrzny dyrektor finansowy), który używa NoFiCo jako swojego głównego narzędzia pracy z wieloma niepowiązanymi klientami.</w:t>
      </w:r>
    </w:p>
    <w:p>
      <w:pPr>
        <w:spacing w:after="120" w:line="300"/>
      </w:pPr>
      <w:r>
        <w:rPr>
          <w:b/>
          <w:bCs/>
        </w:rPr>
        <w:t xml:space="preserve">Uprawnienia: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Posiada dostęp do spółek przypisanych mu przez różnych Właścicieli (np. pomaga w 3 spółkach jednego Inwestora, ale ma też dostęp do 15 spółek innych klientów w ekosystemie NoFiCo).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Wymaga bezwzględnej izolacji powiadomień i dedykowanych skrzynek e-mail dla każdego klienta.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Przełączanie między przestrzeniami roboczymi (Hard Context Switch) wymusza natychmiastową izolację danych na poziomie tokenu JWT i kontekstu bazy danych.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System wykorzystuje tokeny OAuth2 do wysyłania e-maili z domen klientów (np. doradca@klient1.pl) bez konieczności rekonfiguracji DNS.</w:t>
      </w:r>
    </w:p>
    <w:p>
      <w:pPr>
        <w:pStyle w:val="Heading2"/>
      </w:pPr>
      <w:r>
        <w:t xml:space="preserve">1.2 Asystent Zarządu / Zaufany Pełnomocnik (Delegated Admin)</w:t>
      </w:r>
    </w:p>
    <w:p>
      <w:pPr>
        <w:spacing w:after="120" w:line="300"/>
      </w:pPr>
      <w:r>
        <w:rPr>
          <w:b/>
          <w:bCs/>
        </w:rPr>
        <w:t xml:space="preserve">Kontekst:</w:t>
      </w:r>
    </w:p>
    <w:p>
      <w:pPr>
        <w:spacing w:after="120" w:line="300"/>
      </w:pPr>
      <w:r>
        <w:t xml:space="preserve">Prawa ręka Właściciela grupy kapitałowej.</w:t>
      </w:r>
    </w:p>
    <w:p>
      <w:pPr>
        <w:spacing w:after="120" w:line="300"/>
      </w:pPr>
      <w:r>
        <w:rPr>
          <w:b/>
          <w:bCs/>
        </w:rPr>
        <w:t xml:space="preserve">Uprawnienia: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Współzarządza wieloma (np. pięcioma) spółkami należącymi do jednego Właściciela.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Posiada uprawnienia decyzyjne (akceptacja kosztów, zarządzanie budżetem MPK).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Otrzymuje dostęp do </w:t>
      </w:r>
      <w:r>
        <w:rPr>
          <w:b/>
          <w:bCs/>
        </w:rPr>
        <w:t xml:space="preserve">Globalnego Dashboardu</w:t>
      </w:r>
      <w:r>
        <w:t xml:space="preserve"> zasilanego asynchronicznie przez Azure Cache for Redis (CQRS Read Model).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Ma </w:t>
      </w:r>
      <w:r>
        <w:rPr>
          <w:b/>
          <w:bCs/>
        </w:rPr>
        <w:t xml:space="preserve">twardą blokadę</w:t>
      </w:r>
      <w:r>
        <w:t xml:space="preserve"> wglądu w prywatne konta Właściciela podpięte przez PSD2 oraz w moduł umów z członkiem zarządu (ochrona KSH).</w:t>
      </w:r>
    </w:p>
    <w:p>
      <w:pPr>
        <w:pStyle w:val="Heading2"/>
      </w:pPr>
      <w:r>
        <w:t xml:space="preserve">1.3 Pracownik Multi-Spółkowy (Shared Resource)</w:t>
      </w:r>
    </w:p>
    <w:p>
      <w:pPr>
        <w:spacing w:after="120" w:line="300"/>
      </w:pPr>
      <w:r>
        <w:rPr>
          <w:b/>
          <w:bCs/>
        </w:rPr>
        <w:t xml:space="preserve">Kontekst:</w:t>
      </w:r>
    </w:p>
    <w:p>
      <w:pPr>
        <w:spacing w:after="120" w:line="300"/>
      </w:pPr>
      <w:r>
        <w:t xml:space="preserve">Osoba zatrudniona w ramach holdingu, świadcząca usługi na rzecz kilku podmiotów powiązanych.</w:t>
      </w:r>
    </w:p>
    <w:p>
      <w:pPr>
        <w:spacing w:after="120" w:line="300"/>
      </w:pPr>
      <w:r>
        <w:rPr>
          <w:b/>
          <w:bCs/>
        </w:rPr>
        <w:t xml:space="preserve">Uprawnienia: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Wykonuje operacje (np. zgłaszanie wydatków, transkrypcje notatek) z poziomu jednej aplikacji mobilnej.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Musi wskazać na rzecz którego podmiotu (Workspace) dany wydatek został poniesiony.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Po zeskanowaniu paragonu widzi dropdown z logo firm, do których ma dostęp.</w:t>
      </w:r>
    </w:p>
    <w:p>
      <w:r>
        <w:br w:type="page"/>
      </w:r>
    </w:p>
    <w:p>
      <w:pPr>
        <w:pStyle w:val="Heading1"/>
      </w:pPr>
      <w:r>
        <w:t xml:space="preserve">2. Nowe Historie Użytkownika (User Stories &amp; Use Cases)</w:t>
      </w:r>
    </w:p>
    <w:p>
      <w:pPr>
        <w:spacing w:after="120" w:line="300"/>
      </w:pPr>
      <w:r>
        <w:t xml:space="preserve">Poniższe przypadki dopełniają sekcję Historie Użytkownika w głównym PRD, aby programiści (oraz algorytmy generujące kod) rozumieli intencję biznesową interfejsów:</w:t>
      </w:r>
    </w:p>
    <w:p>
      <w:pPr>
        <w:pStyle w:val="Heading2"/>
      </w:pPr>
      <w:r>
        <w:t xml:space="preserve">2.1 Zarządzanie Portfelem (Asystent/Sekretarka)</w:t>
      </w:r>
    </w:p>
    <w:p>
      <w:pPr>
        <w:spacing w:after="120" w:line="300"/>
        <w:ind w:left="720" w:right="720"/>
      </w:pPr>
      <w:r>
        <w:rPr>
          <w:i/>
          <w:iCs/>
          <w:color w:val="555555"/>
        </w:rPr>
        <w:t xml:space="preserve">"Jako zaufany Asystent Właściciela 5 spółek, chcę widzieć zagregowany pulpit (Global Dashboard) oczekujących wydatków ze wszystkich 5 firm, aby szybko je procesować, ale system nie może mi pozwolić na wgląd w prywatne wydatki Właściciela, nawet jeśli są na tym samym koncie w banku."</w:t>
      </w:r>
    </w:p>
    <w:p>
      <w:pPr>
        <w:spacing w:after="120" w:line="300"/>
      </w:pPr>
      <w:r>
        <w:rPr>
          <w:b/>
          <w:bCs/>
        </w:rPr>
        <w:t xml:space="preserve">Implementacja techniczna:</w:t>
      </w:r>
      <w:r>
        <w:t xml:space="preserve"> Global Dashboard zasilany jest z Azure Cache for Redis (CQRS Read Model). Asynchroniczny handler generuje spłaszczone struktury JSON zawierające wyłącznie bezpieczne statusy powiadomień (bez kwot prywatnych transakcji). Kontekst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tenant_id IN (...)</w:t>
      </w:r>
      <w:r>
        <w:t xml:space="preserve"> wstrzykiwany z tokenu JWT gwarantuje izolację.</w:t>
      </w:r>
    </w:p>
    <w:p>
      <w:pPr>
        <w:pStyle w:val="Heading2"/>
      </w:pPr>
      <w:r>
        <w:t xml:space="preserve">2.2 Rozproszony Consulting (Zewnętrzny Doradca / Freelancer)</w:t>
      </w:r>
    </w:p>
    <w:p>
      <w:pPr>
        <w:spacing w:after="120" w:line="300"/>
        <w:ind w:left="720" w:right="720"/>
      </w:pPr>
      <w:r>
        <w:rPr>
          <w:i/>
          <w:iCs/>
          <w:color w:val="555555"/>
        </w:rPr>
        <w:t xml:space="preserve">"Jako zewnętrzny Konsultant obsługujący 18 różnych firm w NoFiCo, chcę móc łatwo przełączać się między przestrzeniami roboczymi klientów (Hard Context Switch) i odpisywać na pytania dotyczące wydatków z unikalnych dla każdej firmy adresów e-mail (OAuth2/Domain Validation), aby moi klienci i ich księgowi widzieli mnie jako zintegrowaną część ich zespołu."</w:t>
      </w:r>
    </w:p>
    <w:p>
      <w:pPr>
        <w:spacing w:after="120" w:line="300"/>
      </w:pPr>
      <w:r>
        <w:rPr>
          <w:b/>
          <w:bCs/>
        </w:rPr>
        <w:t xml:space="preserve">Implementacja techniczna:</w:t>
      </w:r>
      <w:r>
        <w:t xml:space="preserve"> Każde przełączenie Workspace wymusza nowy token JWT z odpowiednim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tenant_id</w:t>
      </w:r>
      <w:r>
        <w:t xml:space="preserve">. Wysyłka e-maili realizowana jest przez OAuth2 tokeny przechowywane per-firma. W przypadku wygaśnięcia tokenu system oznacza skrzynkę jako "Wymaga reautoryzacji" i kolejkuje wiadomości w Temporal.io.</w:t>
      </w:r>
    </w:p>
    <w:p>
      <w:pPr>
        <w:pStyle w:val="Heading2"/>
      </w:pPr>
      <w:r>
        <w:t xml:space="preserve">2.3 Raportowanie Cross-Company (Pracownik)</w:t>
      </w:r>
    </w:p>
    <w:p>
      <w:pPr>
        <w:spacing w:after="120" w:line="300"/>
        <w:ind w:left="720" w:right="720"/>
      </w:pPr>
      <w:r>
        <w:rPr>
          <w:i/>
          <w:iCs/>
          <w:color w:val="555555"/>
        </w:rPr>
        <w:t xml:space="preserve">"Jako Pracownik realizujący zadania dla 3 różnych spółek z o.o. tego samego właściciela, chcę po zeskanowaniu paragonu w aplikacji mobilnej mieć od razu możliwość wyboru (dropdown z logo firmy), do której spółki ma zostać przypisany ten koszt, aby uniknąć konieczności późniejszego ręcznego przeksięgowywania (refakturowania) przez księgowość."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Dokument poufny — Single Source of Truth</w:t>
    </w:r>
    <w:r>
      <w:rPr>
        <w:rFonts w:ascii="Arial" w:cs="Arial" w:eastAsia="Arial" w:hAnsi="Arial"/>
        <w:color w:val="999999"/>
        <w:sz w:val="16"/>
        <w:szCs w:val="16"/>
      </w:rPr>
      <w:t xml:space="preserve">	Strona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NoFiCo — Smart Financial Controller</w:t>
    </w:r>
    <w:r>
      <w:rPr>
        <w:rFonts w:ascii="Arial" w:cs="Arial" w:eastAsia="Arial" w:hAnsi="Arial"/>
        <w:color w:val="999999"/>
        <w:sz w:val="16"/>
        <w:szCs w:val="16"/>
      </w:rPr>
      <w:t xml:space="preserve">	ANEKS BIZNESOWY (PRD)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98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A6F9E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color w:val="3A6F9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2026-04-13T15:57:22.726Z</dcterms:created>
  <dcterms:modified xsi:type="dcterms:W3CDTF">2026-04-13T15:57:22.727Z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