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1B3A5C"/>
          <w:sz w:val="40"/>
          <w:szCs w:val="40"/>
        </w:rPr>
        <w:t xml:space="preserve">K4 Projektowanie API dla NoFiCo</w:t>
      </w:r>
    </w:p>
    <w:p>
      <w:pPr>
        <w:spacing w:after="120"/>
      </w:pPr>
      <w:r>
        <w:rPr>
          <w:rFonts w:ascii="Arial" w:cs="Arial" w:eastAsia="Arial" w:hAnsi="Arial"/>
          <w:color w:val="5A5A5A"/>
          <w:sz w:val="24"/>
          <w:szCs w:val="24"/>
        </w:rPr>
        <w:t xml:space="preserve">Zaktualizowany — Azure Unified</w:t>
      </w:r>
    </w:p>
    <w:p>
      <w:pPr>
        <w:spacing w:after="6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Data aktualizacji: 13 kwietnia 2026 r. (Europe/Warsaw)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Status: Zatwierdzony (Single Source of Truth)</w:t>
      </w:r>
    </w:p>
    <w:p>
      <w:pPr>
        <w:pBdr>
          <w:bottom w:val="single" w:color="1B3A5C" w:sz="6" w:space="8"/>
        </w:pBdr>
        <w:spacing w:after="200"/>
      </w:pPr>
    </w:p>
    <w:p>
      <w:pPr>
        <w:spacing w:after="120" w:line="300"/>
      </w:pPr>
      <w:r>
        <w:t xml:space="preserve">Aplikacja NoFiCo operuje na wrażliwych danych finansowych mikrofirm, spółek z ograniczoną odpowiedzialnością oraz biur rachunkowych i musi stanowić monolit bezpieczeństwa, przy jednoczesnym zachowaniu elastyczności dla wielu platform (Web, iOS, Android). Poniższa specyfikacja definiuje jednolity standard oparty o chmurę </w:t>
      </w:r>
      <w:r>
        <w:rPr>
          <w:b/>
          <w:bCs/>
        </w:rPr>
        <w:t xml:space="preserve">Microsoft Azure</w:t>
      </w:r>
      <w:r>
        <w:t xml:space="preserve">, silnik </w:t>
      </w:r>
      <w:r>
        <w:rPr>
          <w:b/>
          <w:bCs/>
        </w:rPr>
        <w:t xml:space="preserve">Temporal.io</w:t>
      </w:r>
      <w:r>
        <w:t xml:space="preserve"> oraz architekturę </w:t>
      </w:r>
      <w:r>
        <w:rPr>
          <w:b/>
          <w:bCs/>
        </w:rPr>
        <w:t xml:space="preserve">CQRS</w:t>
      </w:r>
      <w:r>
        <w:t xml:space="preserve">.</w:t>
      </w:r>
    </w:p>
    <w:p>
      <w:pPr>
        <w:pStyle w:val="Heading1"/>
      </w:pPr>
      <w:r>
        <w:t xml:space="preserve">1. Brama API (Smart API Gateway)</w:t>
      </w:r>
    </w:p>
    <w:p>
      <w:pPr>
        <w:spacing w:after="120" w:line="300"/>
      </w:pPr>
      <w:r>
        <w:rPr>
          <w:b/>
          <w:bCs/>
        </w:rPr>
        <w:t xml:space="preserve">Decyzja:</w:t>
      </w:r>
    </w:p>
    <w:p>
      <w:pPr>
        <w:spacing w:after="120" w:line="300"/>
      </w:pPr>
      <w:r>
        <w:t xml:space="preserve">Wstępna rezygnacja z usługi Azure API Management (APIM) w warstwie Premium na rzecz wdrożenia </w:t>
      </w:r>
      <w:r>
        <w:rPr>
          <w:b/>
          <w:bCs/>
        </w:rPr>
        <w:t xml:space="preserve">NGINX Ingress Controller</w:t>
      </w:r>
      <w:r>
        <w:t xml:space="preserve"> (lub Envoy) na poziomie Azure Container Apps.</w:t>
      </w:r>
    </w:p>
    <w:p>
      <w:pPr>
        <w:spacing w:after="120" w:line="300"/>
      </w:pPr>
      <w:r>
        <w:rPr>
          <w:b/>
          <w:bCs/>
        </w:rPr>
        <w:t xml:space="preserve">Uzasadnienie (Optymalizacja Kosztów):</w:t>
      </w:r>
    </w:p>
    <w:p>
      <w:pPr>
        <w:spacing w:after="120" w:line="300"/>
      </w:pPr>
      <w:r>
        <w:t xml:space="preserve">APIM Premium, wymagany do pełnej integracji z sieciami VNet, to koszt liczony w tysiącach euro miesięcznie. Na etapie budowy i skalowania start-upu jest to rozwiązanie nieuzasadnione ekonomicznie. Odpowiednio skonfigurowany kontroler Ingress (NGINX/Envoy) zapewnia terminację mTLS, walidację tokenów JWT za pomocą modułów Auth-Request oraz rate-limiting, zachowując rygor bezpieczeństwa (Security-First) przy ułamku kosztów.</w:t>
      </w:r>
    </w:p>
    <w:p>
      <w:pPr>
        <w:spacing w:after="120" w:line="300"/>
      </w:pPr>
      <w:r>
        <w:t xml:space="preserve">Usługa APIM zostanie wprowadzona w fazie dojrzałości produktu, gdy zajdzie potrzeba monetyzacji otwartych interfejsów API dla zewnętrznych partnerów B2B.</w:t>
      </w:r>
    </w:p>
    <w:p>
      <w:r>
        <w:br w:type="page"/>
      </w:r>
    </w:p>
    <w:p>
      <w:pPr>
        <w:pStyle w:val="Heading1"/>
      </w:pPr>
      <w:r>
        <w:t xml:space="preserve">2. Izolacja Danych (Multi-tenant) w Warstwie API</w:t>
      </w:r>
    </w:p>
    <w:p>
      <w:pPr>
        <w:spacing w:after="120" w:line="300"/>
      </w:pPr>
      <w:r>
        <w:rPr>
          <w:b/>
          <w:bCs/>
        </w:rPr>
        <w:t xml:space="preserve">Decyzja:</w:t>
      </w:r>
    </w:p>
    <w:p>
      <w:pPr>
        <w:spacing w:after="120" w:line="300"/>
      </w:pPr>
      <w:r>
        <w:t xml:space="preserve">Ścisłe powiązanie żądań API z mechanizmem izolacji danych w </w:t>
      </w:r>
      <w:r>
        <w:rPr>
          <w:b/>
          <w:bCs/>
        </w:rPr>
        <w:t xml:space="preserve">Azure Database for PostgreSQL Flexible Server</w:t>
      </w:r>
      <w:r>
        <w:t xml:space="preserve">. Odrzucenie koncepcji horyzontalnych "mostów API" między tenantami.</w:t>
      </w:r>
    </w:p>
    <w:p>
      <w:pPr>
        <w:spacing w:after="120" w:line="300"/>
      </w:pPr>
      <w:r>
        <w:rPr>
          <w:b/>
          <w:bCs/>
        </w:rPr>
        <w:t xml:space="preserve">Uzasadnienie i Implementacja:</w:t>
      </w:r>
    </w:p>
    <w:p>
      <w:pPr>
        <w:spacing w:after="120" w:line="300"/>
      </w:pPr>
      <w:r>
        <w:t xml:space="preserve">W systemach finansowych poleganie na filtracji danych na poziomie kodu aplikacji (np.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WHERE tenant_id = X</w:t>
      </w:r>
      <w:r>
        <w:t xml:space="preserve"> w ORM) to krytyczny błąd prowadzący do wycieków danych (Cross-tenant leaks). Każde żądanie API (REST/GraphQL) po przejściu przez Gateway uderza do warstwy serwisowej, która otwiera transakcję w bazie.</w:t>
      </w:r>
    </w:p>
    <w:p>
      <w:pPr>
        <w:pStyle w:val="Heading3"/>
      </w:pPr>
      <w:r>
        <w:t xml:space="preserve">Standardy Bezpieczeństwa Zapytań (Multi-Tenant Context w API)</w:t>
      </w:r>
    </w:p>
    <w:p>
      <w:pPr>
        <w:spacing w:after="120" w:line="300"/>
      </w:pPr>
      <w:r>
        <w:rPr>
          <w:b/>
          <w:bCs/>
        </w:rPr>
        <w:t xml:space="preserve">Decyzja:</w:t>
      </w:r>
    </w:p>
    <w:p>
      <w:pPr>
        <w:spacing w:after="120" w:line="300"/>
      </w:pPr>
      <w:r>
        <w:t xml:space="preserve">Kategoryczny zakaz bezpośredniego mutowania stanu sesji w bazie danych (eliminacja komendy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SET LOCAL app.current_tenant</w:t>
      </w:r>
      <w:r>
        <w:t xml:space="preserve">).</w:t>
      </w:r>
    </w:p>
    <w:p>
      <w:pPr>
        <w:spacing w:after="120" w:line="300"/>
      </w:pPr>
      <w:r>
        <w:rPr>
          <w:b/>
          <w:bCs/>
        </w:rPr>
        <w:t xml:space="preserve">Implementacja API: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Każdy przychodzący request do API musi zawierać zwalidowany token JWT (obsługiwany przez Edge Proxy / Ingress), z którego wyciągany jest parametr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tenant_id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Moduł warstwy dostępu do danych (Data Access Layer / ORM) w backendzie ma obowiązek automatycznie wstrzykiwać bezpieczny kontekst: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AND tenant_id = 'UUID_TENANTA'</w:t>
      </w:r>
      <w:r>
        <w:t xml:space="preserve"> do każdego zapytania bazodanowego (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SELECT</w:t>
      </w:r>
      <w:r>
        <w:t xml:space="preserve">,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INSERT</w:t>
      </w:r>
      <w:r>
        <w:t xml:space="preserve">,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UPDATE</w:t>
      </w:r>
      <w:r>
        <w:t xml:space="preserve">,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DELETE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Dla ról Cross-Tenant (Zewnętrzny Doradca, Asystent Zarządu) system wstrzykuje: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AND tenant_id IN ('UUID_X', 'UUID_Y', 'UUID_Z')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Próba wykonania zapytania bez nałożonego kontekstu musi skutkować </w:t>
      </w:r>
      <w:r>
        <w:rPr>
          <w:b/>
          <w:bCs/>
        </w:rPr>
        <w:t xml:space="preserve">twardym błędem</w:t>
      </w:r>
      <w:r>
        <w:t xml:space="preserve"> bazy danych, a nie zwróceniem wszystkich rekordów.</w:t>
      </w:r>
    </w:p>
    <w:p>
      <w:pPr>
        <w:spacing w:after="120"/>
      </w:pPr>
    </w:p>
    <w:p>
      <w:pPr>
        <w:spacing w:after="120" w:line="300"/>
      </w:pPr>
      <w:r>
        <w:t xml:space="preserve">Gwarantuje to 100% odporność na wycieki danych (Cross-Tenant Data Leak) w architekturze korzystającej z puli połączeń (PgBouncer).</w:t>
      </w:r>
    </w:p>
    <w:p>
      <w:r>
        <w:br w:type="page"/>
      </w:r>
    </w:p>
    <w:p>
      <w:pPr>
        <w:pStyle w:val="Heading1"/>
      </w:pPr>
      <w:r>
        <w:t xml:space="preserve">3. Architektura Odczytu (CQRS) bez Fallbacku do RDBMS</w:t>
      </w:r>
    </w:p>
    <w:p>
      <w:pPr>
        <w:spacing w:after="120" w:line="300"/>
      </w:pPr>
      <w:r>
        <w:rPr>
          <w:b/>
          <w:bCs/>
        </w:rPr>
        <w:t xml:space="preserve">Decyzja:</w:t>
      </w:r>
    </w:p>
    <w:p>
      <w:pPr>
        <w:spacing w:after="120" w:line="300"/>
      </w:pPr>
      <w:r>
        <w:t xml:space="preserve">Usunięcie mechanizmu automatycznego fallbacku do transakcyjnej bazy PostgreSQL w przypadku braku aktualnych danych w magazynie odczytu (</w:t>
      </w:r>
      <w:r>
        <w:rPr>
          <w:b/>
          <w:bCs/>
        </w:rPr>
        <w:t xml:space="preserve">Azure Cache for Redis</w:t>
      </w:r>
      <w:r>
        <w:t xml:space="preserve">). Pełne przejście na architekturę Reactive/Event-Driven z opóźnioną spójnością (Eventual Consistency).</w:t>
      </w:r>
    </w:p>
    <w:p>
      <w:pPr>
        <w:spacing w:after="120" w:line="300"/>
      </w:pPr>
      <w:r>
        <w:rPr>
          <w:b/>
          <w:bCs/>
        </w:rPr>
        <w:t xml:space="preserve">Uzasadnienie:</w:t>
      </w:r>
    </w:p>
    <w:p>
      <w:pPr>
        <w:spacing w:after="120" w:line="300"/>
      </w:pPr>
      <w:r>
        <w:t xml:space="preserve">Wykonywanie zapytań UNION ALL w głównej bazie PostgreSQL na kilkunastu kontekstach tenant dla weryfikacji "świeżości" danych zrujnuje wydajność (Thundering Herd Problem). Fallback niszczył całą ideę izolacji odciążającej główną bazę.</w:t>
      </w:r>
    </w:p>
    <w:p>
      <w:pPr>
        <w:spacing w:after="120" w:line="300"/>
      </w:pPr>
      <w:r>
        <w:rPr>
          <w:b/>
          <w:bCs/>
        </w:rPr>
        <w:t xml:space="preserve">Implementacja API: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Klient wysyła komendę mutującą (np.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POST /api/v1/expenses</w:t>
      </w:r>
      <w:r>
        <w:t xml:space="preserve">). API zwraca natychmiast status </w:t>
      </w:r>
      <w:r>
        <w:rPr>
          <w:b/>
          <w:bCs/>
        </w:rPr>
        <w:t xml:space="preserve">`202 Accepted`</w:t>
      </w:r>
      <w:r>
        <w:t xml:space="preserve"> oraz identyfikator operacji (np.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transaction_id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Użytkownik nie wykonuje synchronicznego odpytywania z fallbackiem. Zamiast tego API udostępnia dedykowany endpoint powiadomień (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GET /api/v1/sync-status</w:t>
      </w:r>
      <w:r>
        <w:t xml:space="preserve">) lub połączenie WebSocket poprzez </w:t>
      </w:r>
      <w:r>
        <w:rPr>
          <w:b/>
          <w:bCs/>
        </w:rPr>
        <w:t xml:space="preserve">Azure Web PubSub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Aplikacja kliencka wyświetla odpowiedni UI stanu oczekiwania (Skeleton UI/Spinners) do momentu otrzymania asynchronicznego potwierdzenia, że model odczytu (Redis) został zaktualizowany i można bezpiecznie wyświetlić dashboard.</w:t>
      </w:r>
    </w:p>
    <w:p>
      <w:r>
        <w:br w:type="page"/>
      </w:r>
    </w:p>
    <w:p>
      <w:pPr>
        <w:pStyle w:val="Heading1"/>
      </w:pPr>
      <w:r>
        <w:t xml:space="preserve">4. Asynchroniczne API Transakcyjne (Temporal.io)</w:t>
      </w:r>
    </w:p>
    <w:p>
      <w:pPr>
        <w:spacing w:after="120" w:line="300"/>
      </w:pPr>
      <w:r>
        <w:rPr>
          <w:b/>
          <w:bCs/>
        </w:rPr>
        <w:t xml:space="preserve">Decyzja:</w:t>
      </w:r>
    </w:p>
    <w:p>
      <w:pPr>
        <w:spacing w:after="120" w:line="300"/>
      </w:pPr>
      <w:r>
        <w:t xml:space="preserve">Zastąpienie kolejek RabbitMQ i ręcznych mechanizmów ponowień API wzorcem komunikacji asynchronicznej opartym o silnik </w:t>
      </w:r>
      <w:r>
        <w:rPr>
          <w:b/>
          <w:bCs/>
        </w:rPr>
        <w:t xml:space="preserve">Temporal.io</w:t>
      </w:r>
      <w:r>
        <w:t xml:space="preserve">.</w:t>
      </w:r>
    </w:p>
    <w:p>
      <w:pPr>
        <w:spacing w:after="120" w:line="300"/>
      </w:pPr>
      <w:r>
        <w:rPr>
          <w:b/>
          <w:bCs/>
        </w:rPr>
        <w:t xml:space="preserve">Uzasadnienie i Implementacja:</w:t>
      </w:r>
    </w:p>
    <w:p>
      <w:pPr>
        <w:spacing w:after="120" w:line="300"/>
      </w:pPr>
      <w:r>
        <w:t xml:space="preserve">Długotrwałe procesy (np. autoryzacja KSeF, transkrypcja Whisper, generowanie pliku FEC) nie mogą blokować wątków HTTP. Tradycyjne endpointy z czasem oczekiwania (Timeout) rzędu 30 sekund są odrzucone.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Jeśli użytkownik zleca przetworzenie dokumentu (np.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POST /api/v1/documents/process</w:t>
      </w:r>
      <w:r>
        <w:t xml:space="preserve">), API natychmiast zwraca kod </w:t>
      </w:r>
      <w:r>
        <w:rPr>
          <w:b/>
          <w:bCs/>
        </w:rPr>
        <w:t xml:space="preserve">`202 Accepted`</w:t>
      </w:r>
      <w:r>
        <w:t xml:space="preserve"> oraz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workflow_id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Prawdziwa praca zlecana jest do klastra Temporal. Aplikacja kliencka używa mechanizmu WebSockets (Azure Web PubSub) odpytując o status Workflow.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Jeśli w tle wystąpi awaria sieci, Temporal wznowi proces od ostatniego punktu bez utraty danych.</w:t>
      </w:r>
    </w:p>
    <w:p>
      <w:r>
        <w:br w:type="page"/>
      </w:r>
    </w:p>
    <w:p>
      <w:pPr>
        <w:pStyle w:val="Heading1"/>
      </w:pPr>
      <w:r>
        <w:t xml:space="preserve">5. API dla Modułu AI Guardian (Edge-Only Auto-Blur i OCR)</w:t>
      </w:r>
    </w:p>
    <w:p>
      <w:pPr>
        <w:spacing w:after="120" w:line="300"/>
      </w:pPr>
      <w:r>
        <w:rPr>
          <w:b/>
          <w:bCs/>
        </w:rPr>
        <w:t xml:space="preserve">Decyzja:</w:t>
      </w:r>
    </w:p>
    <w:p>
      <w:pPr>
        <w:spacing w:after="120" w:line="300"/>
      </w:pPr>
      <w:r>
        <w:t xml:space="preserve">Architektura Edge-Only: serwer </w:t>
      </w:r>
      <w:r>
        <w:rPr>
          <w:b/>
          <w:bCs/>
        </w:rPr>
        <w:t xml:space="preserve">nigdy nie otrzymuje surowego obrazu</w:t>
      </w:r>
      <w:r>
        <w:t xml:space="preserve"> zawierającego wrażliwe dane. Specyficzne kontrakty API wymuszają twardą zgodność (Compliance) przed akceptacją ze strony serwera.</w:t>
      </w:r>
    </w:p>
    <w:p>
      <w:pPr>
        <w:spacing w:after="120" w:line="300"/>
      </w:pPr>
      <w:r>
        <w:rPr>
          <w:b/>
          <w:bCs/>
        </w:rPr>
        <w:t xml:space="preserve">Uzasadnienie:</w:t>
      </w:r>
    </w:p>
    <w:p>
      <w:pPr>
        <w:spacing w:after="120" w:line="300"/>
      </w:pPr>
      <w:r>
        <w:t xml:space="preserve">Serwer nie może przyjąć polecenia zaksięgowania zrzutu ekranu, zanim aplikacja kliencka matematycznie nie udowodni, że użytkownik potwierdził i powiększył zacenzurowany obszar.</w:t>
      </w:r>
    </w:p>
    <w:p>
      <w:pPr>
        <w:spacing w:after="120" w:line="300"/>
      </w:pPr>
      <w:r>
        <w:rPr>
          <w:b/>
          <w:bCs/>
        </w:rPr>
        <w:t xml:space="preserve">Implementacja:</w:t>
      </w:r>
    </w:p>
    <w:p>
      <w:pPr>
        <w:pStyle w:val="Heading3"/>
      </w:pPr>
      <w:r>
        <w:t xml:space="preserve">Endpoint 1 (Upload zamazanego obrazu)</w:t>
      </w:r>
    </w:p>
    <w:p>
      <w:pPr>
        <w:spacing w:after="120" w:line="300"/>
      </w:pPr>
      <w:r>
        <w:rPr>
          <w:rFonts w:ascii="Consolas" w:cs="Consolas" w:eastAsia="Consolas" w:hAnsi="Consolas"/>
          <w:color w:val="C7254E"/>
          <w:sz w:val="20"/>
          <w:szCs w:val="20"/>
        </w:rPr>
        <w:t xml:space="preserve">POST /api/v1/vision/analyze</w:t>
      </w:r>
    </w:p>
    <w:p>
      <w:pPr>
        <w:spacing w:after="120" w:line="300"/>
      </w:pPr>
      <w:r>
        <w:t xml:space="preserve">Przyjmuje </w:t>
      </w:r>
      <w:r>
        <w:rPr>
          <w:b/>
          <w:bCs/>
        </w:rPr>
        <w:t xml:space="preserve">wyłącznie</w:t>
      </w:r>
      <w:r>
        <w:t xml:space="preserve"> wykadrowany i zamazany obraz. Aplikacja kliencka we frameworku Flutter całkowicie offline przetwarza surowy zrzut ekranu (Edge AI): analizuje obraz modelem TensorFlow Lite / ONNX, nakłada maskę Blur i prostuje obraz wektorowo na Canvasie. Surowe zdjęcia sald bankowych absolutnie nigdy nie są wysyłane do tego (ani żadnego innego) endpointu.</w:t>
      </w:r>
    </w:p>
    <w:p>
      <w:pPr>
        <w:pStyle w:val="Heading3"/>
      </w:pPr>
      <w:r>
        <w:t xml:space="preserve">Endpoint 2 (Commit z potwierdzeniem cenzury)</w:t>
      </w:r>
    </w:p>
    <w:p>
      <w:pPr>
        <w:spacing w:after="120" w:line="300"/>
      </w:pPr>
      <w:r>
        <w:rPr>
          <w:rFonts w:ascii="Consolas" w:cs="Consolas" w:eastAsia="Consolas" w:hAnsi="Consolas"/>
          <w:color w:val="C7254E"/>
          <w:sz w:val="20"/>
          <w:szCs w:val="20"/>
        </w:rPr>
        <w:t xml:space="preserve">POST /api/v1/vision/commit</w:t>
      </w:r>
    </w:p>
    <w:p>
      <w:pPr>
        <w:spacing w:after="120" w:line="300"/>
      </w:pPr>
      <w:r>
        <w:t xml:space="preserve">Przyjmuje wyprostowany obraz, wycinek potwierdzający powiększenie oraz sumę kontrolną akceptacji. Dopiero wtedy AI generuje rekomendację księgową (zgodność z Human-in-the-loop / EU AI Act).</w:t>
      </w:r>
    </w:p>
    <w:p>
      <w:pPr>
        <w:pStyle w:val="Heading3"/>
      </w:pPr>
      <w:r>
        <w:t xml:space="preserve">Endpointy Whisper (Transkrypcja Głosowa)</w:t>
      </w:r>
    </w:p>
    <w:p>
      <w:pPr>
        <w:spacing w:after="120" w:line="300"/>
      </w:pPr>
      <w:r>
        <w:t xml:space="preserve">Endpointy głosowe kierowane są do Azure OpenAI w formacie strumieniowym, w bezpiecznym trybie w pełni ulotnym (ZDR). Stosowane wyłącznie dla urządzeń bez NPU — urządzenia z NPU transkrybują lokalnie.</w:t>
      </w:r>
    </w:p>
    <w:p>
      <w:r>
        <w:br w:type="page"/>
      </w:r>
    </w:p>
    <w:p>
      <w:pPr>
        <w:pStyle w:val="Heading1"/>
      </w:pPr>
      <w:r>
        <w:t xml:space="preserve">6. Bezpieczeństwo Skrzynek B2B (E-mail API via OAuth2)</w:t>
      </w:r>
    </w:p>
    <w:p>
      <w:pPr>
        <w:spacing w:after="120" w:line="300"/>
      </w:pPr>
      <w:r>
        <w:rPr>
          <w:b/>
          <w:bCs/>
        </w:rPr>
        <w:t xml:space="preserve">Decyzja:</w:t>
      </w:r>
    </w:p>
    <w:p>
      <w:pPr>
        <w:spacing w:after="120" w:line="300"/>
      </w:pPr>
      <w:r>
        <w:t xml:space="preserve">Rezygnacja z integracji AWS SES na rzecz dynamicznych tokenów OAuth2 (Microsoft Graph API / Google Workspace API). Wykorzystanie Azure Communication Services wyłącznie do powiadomień systemowych.</w:t>
      </w:r>
    </w:p>
    <w:p>
      <w:pPr>
        <w:spacing w:after="120" w:line="300"/>
      </w:pPr>
      <w:r>
        <w:rPr>
          <w:b/>
          <w:bCs/>
        </w:rPr>
        <w:t xml:space="preserve">Uzasadnienie i Implementacja:</w:t>
      </w:r>
    </w:p>
    <w:p>
      <w:pPr>
        <w:spacing w:after="120" w:line="300"/>
      </w:pPr>
      <w:r>
        <w:t xml:space="preserve">Aby Zewnętrzny Doradca mógł wysyłać maile autoryzacyjne w imieniu swoich klientów z różnych domen (bez wpadania do SPAMu i bez konfigurowania setek rekordów DNS/DKIM), API NoFiCo operuje wyłącznie jako klient OAuth2.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Zamiast endpointu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/send-email</w:t>
      </w:r>
      <w:r>
        <w:t xml:space="preserve">, API przechowuje zautoryzowane Tokeny Odświeżania (Refresh Tokens) dla skrzynki użytkownika danej firmy.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System "dziedziczy" wiarygodność domeny klienta, wysyłając bezpośrednio przez API dostawcy poczty klienta (MS Graph / Google Workspace API).</w:t>
      </w:r>
    </w:p>
    <w:p>
      <w:pPr>
        <w:pStyle w:val="Heading3"/>
      </w:pPr>
      <w:r>
        <w:t xml:space="preserve">Obsługa wygasłych tokenów</w:t>
      </w:r>
    </w:p>
    <w:p>
      <w:pPr>
        <w:spacing w:after="120" w:line="300"/>
      </w:pPr>
      <w:r>
        <w:t xml:space="preserve">System implementuje automatyczny mechanizm Refresh Token Rotation: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Automatyczne odświeżanie tokenów OAuth2 przed ich wygaśnięciem.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W przypadku wygaśnięcia tokenu, którego nie można odnowić, system oznacza skrzynkę jako "Wymaga reautoryzacji".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Powiadomienie push do użytkownika z prośbą o ponowne uwierzytelnienie.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Kolejkowanie wiadomości e-mail w Temporal.io do momentu odzyskania ważnego tokenu.</w:t>
      </w:r>
    </w:p>
    <w:sectPr>
      <w:headerReference w:type="default" r:id="rId7"/>
      <w:footerReference w:type="default" r:id="rId8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tabs>
        <w:tab w:val="right" w:pos="9026"/>
      </w:tabs>
    </w:pPr>
    <w:r>
      <w:rPr>
        <w:rFonts w:ascii="Arial" w:cs="Arial" w:eastAsia="Arial" w:hAnsi="Arial"/>
        <w:color w:val="999999"/>
        <w:sz w:val="16"/>
        <w:szCs w:val="16"/>
      </w:rPr>
      <w:t xml:space="preserve">Dokument poufny — Single Source of Truth</w:t>
    </w:r>
    <w:r>
      <w:rPr>
        <w:rFonts w:ascii="Arial" w:cs="Arial" w:eastAsia="Arial" w:hAnsi="Arial"/>
        <w:color w:val="999999"/>
        <w:sz w:val="16"/>
        <w:szCs w:val="16"/>
      </w:rPr>
      <w:t xml:space="preserve">	Strona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tabs>
        <w:tab w:val="right" w:pos="9026"/>
      </w:tabs>
    </w:pPr>
    <w:r>
      <w:rPr>
        <w:rFonts w:ascii="Arial" w:cs="Arial" w:eastAsia="Arial" w:hAnsi="Arial"/>
        <w:color w:val="999999"/>
        <w:sz w:val="16"/>
        <w:szCs w:val="16"/>
      </w:rPr>
      <w:t xml:space="preserve">NoFiCo — Smart Financial Controller</w:t>
    </w:r>
    <w:r>
      <w:rPr>
        <w:rFonts w:ascii="Arial" w:cs="Arial" w:eastAsia="Arial" w:hAnsi="Arial"/>
        <w:color w:val="999999"/>
        <w:sz w:val="16"/>
        <w:szCs w:val="16"/>
      </w:rPr>
      <w:t xml:space="preserve">	K4 Projektowanie API dla NoFiCo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5984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3A6F9E"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100" w:before="200"/>
      <w:outlineLvl w:val="3"/>
    </w:pPr>
    <w:rPr>
      <w:rFonts w:ascii="Arial" w:cs="Arial" w:eastAsia="Arial" w:hAnsi="Arial"/>
      <w:b/>
      <w:bCs/>
      <w:color w:val="3A6F9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2026-04-13T15:57:23.632Z</dcterms:created>
  <dcterms:modified xsi:type="dcterms:W3CDTF">2026-04-13T15:57:23.633Z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