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K1 Definicja Słownika Domenowego Aplikacji NoFiCo</w:t>
      </w:r>
    </w:p>
    <w:p>
      <w:pPr>
        <w:spacing w:after="12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Zaktualizowana — Azure Unified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aktualizacji: 13 kwietnia 2026 r. (Europe/Warsaw)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Zatwierdzony (Single Source of Truth)</w:t>
      </w:r>
    </w:p>
    <w:p>
      <w:pPr>
        <w:pBdr>
          <w:bottom w:val="single" w:color="1B3A5C" w:sz="6" w:space="8"/>
        </w:pBdr>
        <w:spacing w:after="200"/>
      </w:pPr>
    </w:p>
    <w:p>
      <w:pPr>
        <w:pStyle w:val="Heading1"/>
      </w:pPr>
      <w:r>
        <w:t xml:space="preserve">Paradygmat Architektoniczny i Język Wszechobecny (Ubiquitous Language)</w:t>
      </w:r>
    </w:p>
    <w:p>
      <w:pPr>
        <w:spacing w:after="120" w:line="300"/>
      </w:pPr>
      <w:r>
        <w:t xml:space="preserve">Projektowanie i wdrażanie zaawansowanych systemów klasy FinTech wymaga bezwzględnej standaryzacji nazewnictwa. W podejściu Domain-Driven Design (DDD), Słownik Domenowy stanowi fundamentalne narzędzie eliminujące dysonans poznawczy pomiędzy logiką biznesową, wymogami prawnymi a implementacją. Ujednolicenie pojęć jest procesem krytycznym, zwłaszcza dla modeli generujących kod (np. Claude Code), które wymagają absolutnej jednoznaczności.</w:t>
      </w:r>
    </w:p>
    <w:p>
      <w:pPr>
        <w:spacing w:after="120"/>
      </w:pPr>
    </w:p>
    <w:p>
      <w:pPr>
        <w:spacing w:after="120" w:line="300"/>
      </w:pPr>
      <w:r>
        <w:rPr>
          <w:i/>
          <w:iCs/>
        </w:rPr>
        <w:t xml:space="preserve">Uwaga Architektoniczna:</w:t>
      </w:r>
      <w:r>
        <w:t xml:space="preserve"> Z niniejszego słownika usunięto pojęcia zdeprecjonowane w najnowszej rewizji architektury: JAMstack (zastąpione przez natywny Flutter dla Mobile/Desktop oraz React/Vue DOM dla portalu Księgowego), RabbitMQ / Dead Letter Queues (zastąpione przez silnik Temporal.io), Multi-Cloud/AWS (zastąpione przez pełną unifikację w ekosystemie Azure) oraz Azure Cosmos DB for NoSQL (zastąpione przez Azure Cache for Redis jako Read Model CQRS). Technologia Flutter Web (CanvasKit/WASM) jest dopuszczona wyłącznie jako awaryjny dostęp operacyjny z poziomu przeglądarki dla Właścicieli i Pracowników. Klasyczne drzewo DOM (React/Vue) jest bezwzględnie wymagane, ale operuje na nim wyłącznie zewnętrzny Portal Księgowy ze względu na rygorystyczne wymogi dostępności cyfrowej (WCAG / dyrektywa EAA).</w:t>
      </w:r>
    </w:p>
    <w:p>
      <w:r>
        <w:br w:type="page"/>
      </w:r>
    </w:p>
    <w:p>
      <w:pPr>
        <w:pStyle w:val="Heading1"/>
      </w:pPr>
      <w:r>
        <w:t xml:space="preserve">1. Architektura i Infrastruktura Rdzenna</w:t>
      </w:r>
    </w:p>
    <w:p>
      <w:pPr>
        <w:pStyle w:val="Heading3"/>
      </w:pPr>
      <w:r>
        <w:t xml:space="preserve">Legal Vault (Cyfrowy Skarbiec)</w:t>
      </w:r>
    </w:p>
    <w:p>
      <w:pPr>
        <w:spacing w:after="120" w:line="300"/>
      </w:pPr>
      <w:r>
        <w:t xml:space="preserve">Nadrzędna koncepcja systemu NoFiCo. Oznacza, że aplikacja nie tylko zarządza wydatkami, ale stanowi zabezpieczony kryptograficznie, nienaruszalny nośnik dowodów księgowych (zgodny z RODO i GoBD).</w:t>
      </w:r>
    </w:p>
    <w:p>
      <w:pPr>
        <w:pStyle w:val="Heading3"/>
      </w:pPr>
      <w:r>
        <w:t xml:space="preserve">Temporal Workflow (Silnik Stanu)</w:t>
      </w:r>
    </w:p>
    <w:p>
      <w:pPr>
        <w:spacing w:after="120" w:line="300"/>
      </w:pPr>
      <w:r>
        <w:t xml:space="preserve">Centralny mechanizm orkiestracji (zastępujący ręczne wzorce SAGA i broker RabbitMQ). Deterministyczny kod definiujący kroki procesu biznesowego (np. księgowanie zrzutu ekranu, wysyłka KSeF, eksport paczki FEC). Gwarantuje wykonanie (Exponential Backoff with Jitter) i odporność na awarie bez ryzyka korupcji danych.</w:t>
      </w:r>
    </w:p>
    <w:p>
      <w:pPr>
        <w:pStyle w:val="Heading3"/>
      </w:pPr>
      <w:r>
        <w:t xml:space="preserve">CQRS Read Model (Zdenormalizowany Widok Odczytu)</w:t>
      </w:r>
    </w:p>
    <w:p>
      <w:pPr>
        <w:spacing w:after="120" w:line="300"/>
      </w:pPr>
      <w:r>
        <w:t xml:space="preserve">Mechanizm optymalizacji zapytań dla użytkowników Cross-Tenant. Zamiast obciążać główną bazę relacyjną (PostgreSQL Flexible Server), system asynchronicznie emituje gotowe, spłaszczone paczki JSON do </w:t>
      </w:r>
      <w:r>
        <w:rPr>
          <w:b/>
          <w:bCs/>
        </w:rPr>
        <w:t xml:space="preserve">Azure Cache for Redis</w:t>
      </w:r>
      <w:r>
        <w:t xml:space="preserve"> (z modułami RedisJSON i RediSearch), skąd zasilany jest Global Dashboard. Redis gwarantuje sub-milisekundowe czasy odczytu przy drastycznie niższych kosztach niż Cosmos DB.</w:t>
      </w:r>
    </w:p>
    <w:p>
      <w:pPr>
        <w:pStyle w:val="Heading3"/>
      </w:pPr>
      <w:r>
        <w:t xml:space="preserve">WORM (Write Once, Read Many)</w:t>
      </w:r>
    </w:p>
    <w:p>
      <w:pPr>
        <w:spacing w:after="120" w:line="300"/>
      </w:pPr>
      <w:r>
        <w:t xml:space="preserve">Polityka niezmienności realizowana przez Azure Blob Storage z polityką Immutable Storage. Plik (np. log audytowy, ustrukturyzowana faktura) zapisany w tym trybie nie może zostać zmodyfikowany ani usunięty przez nikogo (nawet administratora) do czasu ustania obowiązku prawnego (Time-Based Retention). Gwarantuje zgodność z prawem do bycia zapomnianym po upływie retencji (przewaga nad Blockchainem).</w:t>
      </w:r>
    </w:p>
    <w:p>
      <w:pPr>
        <w:pStyle w:val="Heading3"/>
      </w:pPr>
      <w:r>
        <w:t xml:space="preserve">Global IAM (Identity and Access Management)</w:t>
      </w:r>
    </w:p>
    <w:p>
      <w:pPr>
        <w:spacing w:after="120" w:line="300"/>
      </w:pPr>
      <w:r>
        <w:t xml:space="preserve">Centralny system uwierzytelniania obsługujący tożsamość użytkowników (SSO) i przypisanie do wielu niezależnych Przestrzeni Roboczych (Tenants). Dane IAM przechowywane są w schemacie master (public) w Azure Database for PostgreSQL Flexible Server.</w:t>
      </w:r>
    </w:p>
    <w:p>
      <w:pPr>
        <w:pStyle w:val="Heading3"/>
      </w:pPr>
      <w:r>
        <w:t xml:space="preserve">Tenant / Workspace (Przestrzeń Robocza)</w:t>
      </w:r>
    </w:p>
    <w:p>
      <w:pPr>
        <w:spacing w:after="120" w:line="300"/>
      </w:pPr>
      <w:r>
        <w:t xml:space="preserve">Logicznie i fizycznie wyizolowane środowisko pojedynczej firmy (np. Spółki z o.o. lub JDG). Posiada własny NIP, bazę rozrachunków i ustawienia subskrypcji. Izolacja realizowana przez kolumnę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</w:t>
      </w:r>
      <w:r>
        <w:t xml:space="preserve"> na każdej tabeli z wymuszeniem w warstwie ORM (Hard-coded Context Injection).</w:t>
      </w:r>
    </w:p>
    <w:p>
      <w:pPr>
        <w:pStyle w:val="Heading3"/>
      </w:pPr>
      <w:r>
        <w:t xml:space="preserve">Hard Context Switch</w:t>
      </w:r>
    </w:p>
    <w:p>
      <w:pPr>
        <w:spacing w:after="120" w:line="300"/>
      </w:pPr>
      <w:r>
        <w:t xml:space="preserve">Mechanizm w interfejsie aplikacji (UI) i na API (tokeny JWT), który pozwala Zewnętrznemu Doradcy przełączyć się między firmą X a firmą Y, nakładając natychmiast twardą izolację danych. Realizowana przez wstrzyknięcie nowego kontekstu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</w:t>
      </w:r>
      <w:r>
        <w:t xml:space="preserve"> z tokenu JWT do warstwy dostępu do danych.</w:t>
      </w:r>
    </w:p>
    <w:p>
      <w:pPr>
        <w:pStyle w:val="Heading3"/>
      </w:pPr>
      <w:r>
        <w:t xml:space="preserve">Azure Service Bus</w:t>
      </w:r>
    </w:p>
    <w:p>
      <w:pPr>
        <w:spacing w:after="120" w:line="300"/>
      </w:pPr>
      <w:r>
        <w:t xml:space="preserve">Natywna usługa Azure do szybkiego routingu zdarzeń niefinansowych (np. logi systemowe, powiadomienia). Przejmuje rolę brokera zdarzeń, podczas gdy cała logika biznesowa pozostaje w Temporal.io.</w:t>
      </w:r>
    </w:p>
    <w:p>
      <w:pPr>
        <w:pStyle w:val="Heading3"/>
      </w:pPr>
      <w:r>
        <w:t xml:space="preserve">Azure Web PubSub</w:t>
      </w:r>
    </w:p>
    <w:p>
      <w:pPr>
        <w:spacing w:after="120" w:line="300"/>
      </w:pPr>
      <w:r>
        <w:t xml:space="preserve">Usługa WebSocket do powiadamiania interfejsów klienckich w czasie rzeczywistym. Używana w architekturze CQRS do sygnalizowania frontendowi, że dane w Redis Read Model zostały zaktualizowane i dashboard może być bezpiecznie odświeżony.</w:t>
      </w:r>
    </w:p>
    <w:p>
      <w:r>
        <w:br w:type="page"/>
      </w:r>
    </w:p>
    <w:p>
      <w:pPr>
        <w:pStyle w:val="Heading1"/>
      </w:pPr>
      <w:r>
        <w:t xml:space="preserve">2. Pojęcia Związane z AI i Przetwarzaniem Danych</w:t>
      </w:r>
    </w:p>
    <w:p>
      <w:pPr>
        <w:pStyle w:val="Heading3"/>
      </w:pPr>
      <w:r>
        <w:t xml:space="preserve">AI Guardian</w:t>
      </w:r>
    </w:p>
    <w:p>
      <w:pPr>
        <w:spacing w:after="120" w:line="300"/>
      </w:pPr>
      <w:r>
        <w:t xml:space="preserve">Nadrzędny moduł sztucznej inteligencji działający jako "Tarcza Ochronna" firmy. Obejmuje analizę ryzyka podatkowego, weryfikację KUP/NKUP oraz cenzurę danych, zawsze przy użyciu paradygmatu Human-in-the-loop. W przypadku analizy obrazów (zrzuty ekranu, paragony) przetwarzanie odbywa się </w:t>
      </w:r>
      <w:r>
        <w:rPr>
          <w:b/>
          <w:bCs/>
        </w:rPr>
        <w:t xml:space="preserve">wyłącznie na urządzeniu użytkownika</w:t>
      </w:r>
      <w:r>
        <w:t xml:space="preserve"> (Edge AI).</w:t>
      </w:r>
    </w:p>
    <w:p>
      <w:pPr>
        <w:pStyle w:val="Heading3"/>
      </w:pPr>
      <w:r>
        <w:t xml:space="preserve">Auto-Blur</w:t>
      </w:r>
    </w:p>
    <w:p>
      <w:pPr>
        <w:spacing w:after="120" w:line="300"/>
      </w:pPr>
      <w:r>
        <w:t xml:space="preserve">Proces anonimizacji danych wrażliwych na dokumentach graficznych (np. zasłanianie salda konta na zrzucie ekranu z prywatnej aplikacji bankowej). Realizowany </w:t>
      </w:r>
      <w:r>
        <w:rPr>
          <w:b/>
          <w:bCs/>
        </w:rPr>
        <w:t xml:space="preserve">wyłącznie lokalnie na urządzeniu</w:t>
      </w:r>
      <w:r>
        <w:t xml:space="preserve"> (Edge AI) — surowy obraz nigdy nie opuszcza urządzenia.</w:t>
      </w:r>
    </w:p>
    <w:p>
      <w:pPr>
        <w:pStyle w:val="Heading3"/>
      </w:pPr>
      <w:r>
        <w:t xml:space="preserve">Deskew (Transformacja Geometryczna)</w:t>
      </w:r>
    </w:p>
    <w:p>
      <w:pPr>
        <w:spacing w:after="120" w:line="300"/>
      </w:pPr>
      <w:r>
        <w:t xml:space="preserve">Obowiązkowy proces "prostowania" zdjęcia paragonu lub krzywego zrzutu ekranu przed nałożeniem maski Auto-Blur. Wykonywany lokalnie na urządzeniu (Edge AI). Eliminuje ryzyko wycieku danych z powodu błędnie wyliczonych koordynatów.</w:t>
      </w:r>
    </w:p>
    <w:p>
      <w:pPr>
        <w:pStyle w:val="Heading3"/>
      </w:pPr>
      <w:r>
        <w:t xml:space="preserve">Zero Data Retention (ZDR)</w:t>
      </w:r>
    </w:p>
    <w:p>
      <w:pPr>
        <w:spacing w:after="120" w:line="300"/>
      </w:pPr>
      <w:r>
        <w:t xml:space="preserve">Polityka bezpieczeństwa modeli językowych (np. Azure OpenAI do transkrypcji Whisper). Oznacza, że dane finansowe dyktowane przez użytkownika są przetwarzane wyłącznie w pamięci ulotnej RAM, nie są zapisywane na dyskach Microsoftu i nie służą do trenowania modeli. Stosowana wyłącznie dla transkrypcji głosowej na słabszych urządzeniach. Nie dotyczy analizy obrazów (która jest zawsze Edge-Only).</w:t>
      </w:r>
    </w:p>
    <w:p>
      <w:pPr>
        <w:pStyle w:val="Heading3"/>
      </w:pPr>
      <w:r>
        <w:t xml:space="preserve">Human-in-the-loop (Nadzór Człowieka)</w:t>
      </w:r>
    </w:p>
    <w:p>
      <w:pPr>
        <w:spacing w:after="120" w:line="300"/>
      </w:pPr>
      <w:r>
        <w:t xml:space="preserve">Wymóg prawny (EU AI Act), według którego system AI nie może samodzielnie zadecydować o klasyfikacji prawnej lub podatkowej. Aplikacja zawsze generuje </w:t>
      </w:r>
      <w:r>
        <w:rPr>
          <w:i/>
          <w:iCs/>
        </w:rPr>
        <w:t xml:space="preserve">rekomendację</w:t>
      </w:r>
      <w:r>
        <w:t xml:space="preserve">, która wymaga twardej akceptacji (kliknięcia) przez człowieka.</w:t>
      </w:r>
    </w:p>
    <w:p>
      <w:pPr>
        <w:pStyle w:val="Heading3"/>
      </w:pPr>
      <w:r>
        <w:t xml:space="preserve">Edge AI (Przetwarzanie Brzegowe)</w:t>
      </w:r>
    </w:p>
    <w:p>
      <w:pPr>
        <w:spacing w:after="120" w:line="300"/>
      </w:pPr>
      <w:r>
        <w:t xml:space="preserve">Architektura, w której modele sztucznej inteligencji (TensorFlow Lite / ONNX, np. YOLO-NAS, MobileNet) są wbudowane w instalację aplikacji mobilnej/desktopowej i pracują całkowicie offline w pamięci RAM urządzenia. Stosowane obowiązkowo dla AI Guardian (analiza obrazów) oraz opcjonalnie dla Whisper AI (transkrypcja głosowa na urządzeniach z NPU).</w:t>
      </w:r>
    </w:p>
    <w:p>
      <w:r>
        <w:br w:type="page"/>
      </w:r>
    </w:p>
    <w:p>
      <w:pPr>
        <w:pStyle w:val="Heading1"/>
      </w:pPr>
      <w:r>
        <w:t xml:space="preserve">3. Finanse, Księgowość i Zgodność Prawna (Compliance)</w:t>
      </w:r>
    </w:p>
    <w:p>
      <w:pPr>
        <w:pStyle w:val="Heading3"/>
      </w:pPr>
      <w:r>
        <w:t xml:space="preserve">Offline24 Cryptographic Vault (Magazyn KSeF)</w:t>
      </w:r>
    </w:p>
    <w:p>
      <w:pPr>
        <w:spacing w:after="120" w:line="300"/>
      </w:pPr>
      <w:r>
        <w:t xml:space="preserve">Lokalny, zaszyfrowany kontener w aplikacji mobilnej/desktopowej. Uruchamia się w przypadku awarii serwerów Ministerstwa Finansów. Przechowuje "zamrożone" pliki XML, blokując ich edycję w systemie (UI Block). Zaszyfrowane pliki są asynchronicznie replikowane do Azure Blob Storage jako kopia zapasowa (eliminacja smartfonu jako SPOF). Po odzyskaniu łączności Temporal.io deszyfruje plik kluczem z Azure Key Vault i wysyła do KSeF w celu uzyskania UPO.</w:t>
      </w:r>
    </w:p>
    <w:p>
      <w:pPr>
        <w:pStyle w:val="Heading3"/>
      </w:pPr>
      <w:r>
        <w:t xml:space="preserve">UPO (Urzędowe Poświadczenie Odbioru)</w:t>
      </w:r>
    </w:p>
    <w:p>
      <w:pPr>
        <w:spacing w:after="120" w:line="300"/>
      </w:pPr>
      <w:r>
        <w:t xml:space="preserve">Cyfrowy dokument potwierdzający skuteczne i bezbłędne dostarczenie ustrukturyzowanej faktury do polskiego systemu KSeF (lub analogicznego systemu w dyrektywie ViDA). Zwrócenie twardego UPO stanowi dla Temporal.io sygnał do zakończenia procesu wystawiania faktury i odblokowania dokumentu do odczytu.</w:t>
      </w:r>
    </w:p>
    <w:p>
      <w:pPr>
        <w:pStyle w:val="Heading3"/>
      </w:pPr>
      <w:r>
        <w:t xml:space="preserve">FEC (Fichier des Écritures Comptables)</w:t>
      </w:r>
    </w:p>
    <w:p>
      <w:pPr>
        <w:spacing w:after="120" w:line="300"/>
      </w:pPr>
      <w:r>
        <w:t xml:space="preserve">Francuski standard wymiany danych księgowych; scentralizowany plik tekstowy ASCII (18 pól), rygorystycznie określający układ danych. W NoFiCo pojęcie używane ogólnie jako wzorzec ustrukturyzowanej "Paczki na koniec miesiąca" dla księgowości, obok formatu JPK_KR i GoBD.</w:t>
      </w:r>
    </w:p>
    <w:p>
      <w:pPr>
        <w:pStyle w:val="Heading3"/>
      </w:pPr>
      <w:r>
        <w:t xml:space="preserve">AISP (Account Information Service Provider) — Model Agregacji</w:t>
      </w:r>
    </w:p>
    <w:p>
      <w:pPr>
        <w:spacing w:after="120" w:line="300"/>
      </w:pPr>
      <w:r>
        <w:t xml:space="preserve">Podmiot posiadający licencję KNF lub odpowiedniego europejskiego regulatora, zapewniający autoryzowany odczyt danych z rachunków bankowych na mocy dyrektywy PSD2. W NoFiCo platforma działa w modelu agregacji i nie występuje o własną licencję AISP od KNF na etapie MVP. Architektura zakłada bezwzględne wykorzystanie licencjonowanych, zewnętrznych dostawców BaaS (Open Banking Aggregators, np. Nordigen/GoCardless, Tink lub SaltEdge) w modelu Fourth-Party Provider (4PP).</w:t>
      </w:r>
    </w:p>
    <w:p>
      <w:pPr>
        <w:pStyle w:val="Heading3"/>
      </w:pPr>
      <w:r>
        <w:t xml:space="preserve">Entitlements (Uprawnienia Subskrypcyjne)</w:t>
      </w:r>
    </w:p>
    <w:p>
      <w:pPr>
        <w:spacing w:after="120" w:line="300"/>
      </w:pPr>
      <w:r>
        <w:t xml:space="preserve">Mechanizm zarządzania limitami i dostępami zintegrowany ze Stripe Billing. Decyduje o tym, czy w danej Przestrzeni Roboczej można włączyć konkretną funkcję (np. czy pakiet Basic pozwala na użycie AI Guardiana na zrzutach ekranu).</w:t>
      </w:r>
    </w:p>
    <w:p>
      <w:pPr>
        <w:pStyle w:val="Heading3"/>
      </w:pPr>
      <w:r>
        <w:t xml:space="preserve">Out-of-pocket (Zwrot Kosztów)</w:t>
      </w:r>
    </w:p>
    <w:p>
      <w:pPr>
        <w:spacing w:after="120" w:line="300"/>
      </w:pPr>
      <w:r>
        <w:t xml:space="preserve">Proces, w którym pracownik dokonuje płatności prywatną kartą za wydatek firmowy i składa ustrukturyzowany (skan + transkrypcja głosowa) wniosek o zwrot środków, trafiający do akceptacji Managera. Wniosek ten rodzi rozrachunek między spółką a pracownikiem (KSH Art. 210 w przypadku Zarządu).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Dokument poufny — Single Source of Truth</w:t>
    </w:r>
    <w:r>
      <w:rPr>
        <w:rFonts w:ascii="Arial" w:cs="Arial" w:eastAsia="Arial" w:hAnsi="Arial"/>
        <w:color w:val="999999"/>
        <w:sz w:val="16"/>
        <w:szCs w:val="16"/>
      </w:rPr>
      <w:t xml:space="preserve">	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NoFiCo — Smart Financial Controller</w:t>
    </w:r>
    <w:r>
      <w:rPr>
        <w:rFonts w:ascii="Arial" w:cs="Arial" w:eastAsia="Arial" w:hAnsi="Arial"/>
        <w:color w:val="999999"/>
        <w:sz w:val="16"/>
        <w:szCs w:val="16"/>
      </w:rPr>
      <w:t xml:space="preserve">	K1 Definicja Słownika Domenowego Aplikacji NoFiCo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F9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A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2026-04-13T15:57:27.606Z</dcterms:created>
  <dcterms:modified xsi:type="dcterms:W3CDTF">2026-04-13T15:57:27.607Z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