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psnt8k3iu0k4" w:id="0"/>
      <w:bookmarkEnd w:id="0"/>
      <w:r w:rsidDel="00000000" w:rsidR="00000000" w:rsidRPr="00000000">
        <w:rPr>
          <w:sz w:val="46"/>
          <w:szCs w:val="46"/>
          <w:rtl w:val="0"/>
        </w:rPr>
        <w:t xml:space="preserve">K2 Architektura C4 dla NoFiCo (Zaktualizowana - Azure Unified)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i czas wygenerowania:</w:t>
      </w:r>
      <w:r w:rsidDel="00000000" w:rsidR="00000000" w:rsidRPr="00000000">
        <w:rPr>
          <w:rtl w:val="0"/>
        </w:rPr>
        <w:t xml:space="preserve"> 10 kwietnia 2026 r.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Zatwierdzony (Single Source of Truth)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Rozwój oprogramowania finansowego w środowisku regulacyjnym Unii Europejskiej oraz przepisów prawa polskiego wymaga rygorystycznego podejścia do projektowania architektury. Aplikacja NoFiCo (Smart Financial Controller) stanowi zaawansowaną platformę SaaS typu Multi-tenant, która wykracza poza tradycyjne definicje systemów zarządzania wydatkami. System ten operuje na styku otwartej bankowości (PSD2), zautomatyzowanych procesów księgowych, sztucznej inteligencji oraz zaawansowanej cenzury danych, zapewniając pełną zgodność prawno-podatkową dla mikrofirm, spółek z o.o. oraz biur rachunkowych.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Poniższy raport prezentuje wyczerpującą analizę architektury oprogramowania NoFiCo, opartą na metodyce C4, ze szczególnym uwzględnieniem poziomu pierwszego (Kontekst Systemu) oraz drugiego (Kontenery). Architektura została w 100% ujednolicona wokół ekosystemu </w:t>
      </w:r>
      <w:r w:rsidDel="00000000" w:rsidR="00000000" w:rsidRPr="00000000">
        <w:rPr>
          <w:b w:val="1"/>
          <w:bCs w:val="1"/>
          <w:rtl w:val="0"/>
        </w:rPr>
        <w:t xml:space="preserve">Microsoft Azure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8mj1mn8soec0" w:id="1"/>
      <w:bookmarkEnd w:id="1"/>
      <w:r w:rsidDel="00000000" w:rsidR="00000000" w:rsidRPr="00000000">
        <w:rPr>
          <w:sz w:val="34"/>
          <w:szCs w:val="34"/>
          <w:rtl w:val="0"/>
        </w:rPr>
        <w:t xml:space="preserve">Poziom 1: Kontekst Systemu (System Context Diagram)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centrum ekosystemu znajduje się główny system </w:t>
      </w:r>
      <w:r w:rsidDel="00000000" w:rsidR="00000000" w:rsidRPr="00000000">
        <w:rPr>
          <w:b w:val="1"/>
          <w:bCs w:val="1"/>
          <w:rtl w:val="0"/>
        </w:rPr>
        <w:t xml:space="preserve">NoFiCo</w:t>
      </w:r>
      <w:r w:rsidDel="00000000" w:rsidR="00000000" w:rsidRPr="00000000">
        <w:rPr>
          <w:rtl w:val="0"/>
        </w:rPr>
        <w:t xml:space="preserve">, pełniący rolę "Cyfrowego Skarbca" (Legal Vault) i kontrolera finansowego.</w:t>
      </w:r>
    </w:p>
    <w:p w:rsidR="00000000" w:rsidDel="00000000" w:rsidP="00000000" w:rsidRDefault="00000000" w:rsidRPr="00000000" w14:paraId="0000000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g59vyraxiwb4" w:id="2"/>
      <w:bookmarkEnd w:id="2"/>
      <w:r w:rsidDel="00000000" w:rsidR="00000000" w:rsidRPr="00000000">
        <w:rPr>
          <w:sz w:val="26"/>
          <w:szCs w:val="26"/>
          <w:rtl w:val="0"/>
        </w:rPr>
        <w:t xml:space="preserve">Aktorzy (Użytkownicy Systemu):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Właściciel / Zarząd:</w:t>
      </w:r>
      <w:r w:rsidDel="00000000" w:rsidR="00000000" w:rsidRPr="00000000">
        <w:rPr>
          <w:rtl w:val="0"/>
        </w:rPr>
        <w:t xml:space="preserve"> Wymaga agregacji kont prywatnych i firmowych, autoryzuje połączenia PSD2, zarządza limitami.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Administrator:</w:t>
      </w:r>
      <w:r w:rsidDel="00000000" w:rsidR="00000000" w:rsidRPr="00000000">
        <w:rPr>
          <w:rtl w:val="0"/>
        </w:rPr>
        <w:t xml:space="preserve"> Konfiguruje integracje ERP, KSeF oraz NAS.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Manager:</w:t>
      </w:r>
      <w:r w:rsidDel="00000000" w:rsidR="00000000" w:rsidRPr="00000000">
        <w:rPr>
          <w:rtl w:val="0"/>
        </w:rPr>
        <w:t xml:space="preserve"> Otrzymuje powiadomienia i akceptuje/odrzuca wydatki pracowników (Out-of-pocket).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Pracownik:</w:t>
      </w:r>
      <w:r w:rsidDel="00000000" w:rsidR="00000000" w:rsidRPr="00000000">
        <w:rPr>
          <w:rtl w:val="0"/>
        </w:rPr>
        <w:t xml:space="preserve"> Zgłasza wydatki przez aplikację mobilną (OCR, transkrypcje notatek głosowych).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Księgowa (Read-Only/API):</w:t>
      </w:r>
      <w:r w:rsidDel="00000000" w:rsidR="00000000" w:rsidRPr="00000000">
        <w:rPr>
          <w:rtl w:val="0"/>
        </w:rPr>
        <w:t xml:space="preserve"> Pobiera ustrukturyzowane paczki danych (np. pliki FEC, XML camt.053) – wymaga gwarancji niezmienności.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Zewnętrzny Doradca / Asystent (Cross-Tenant):</w:t>
      </w:r>
      <w:r w:rsidDel="00000000" w:rsidR="00000000" w:rsidRPr="00000000">
        <w:rPr>
          <w:rtl w:val="0"/>
        </w:rPr>
        <w:t xml:space="preserve"> Obsługuje wiele spółek naraz. Wymaga błyskawicznego "Globalnego Dashboardu" oraz możliwości wysyłania e-maili z domen klientów.</w:t>
      </w:r>
    </w:p>
    <w:p w:rsidR="00000000" w:rsidDel="00000000" w:rsidP="00000000" w:rsidRDefault="00000000" w:rsidRPr="00000000" w14:paraId="0000000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tox3o4xlih8s" w:id="3"/>
      <w:bookmarkEnd w:id="3"/>
      <w:r w:rsidDel="00000000" w:rsidR="00000000" w:rsidRPr="00000000">
        <w:rPr>
          <w:sz w:val="26"/>
          <w:szCs w:val="26"/>
          <w:rtl w:val="0"/>
        </w:rPr>
        <w:t xml:space="preserve">Zewnętrzne Systemy Zależne: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KSeF (Ministerstwo Finansów):</w:t>
      </w:r>
      <w:r w:rsidDel="00000000" w:rsidR="00000000" w:rsidRPr="00000000">
        <w:rPr>
          <w:rtl w:val="0"/>
        </w:rPr>
        <w:t xml:space="preserve"> Rządowy system e-Faktur. Wymaga autoryzacji tokenowej i rygorystycznej obsługi błędów.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Dostawcy Open Banking (PSD2):</w:t>
      </w:r>
      <w:r w:rsidDel="00000000" w:rsidR="00000000" w:rsidRPr="00000000">
        <w:rPr>
          <w:rtl w:val="0"/>
        </w:rPr>
        <w:t xml:space="preserve"> AISP dostarczający strumienie transakcji bankowych w czasie rzeczywistym.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(Billing &amp; Connect):</w:t>
      </w:r>
      <w:r w:rsidDel="00000000" w:rsidR="00000000" w:rsidRPr="00000000">
        <w:rPr>
          <w:rtl w:val="0"/>
        </w:rPr>
        <w:t xml:space="preserve"> Zarządzanie subskrypcjami (Entitlements) oraz limitami w architekturze Multi-tenant.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Zewnętrzne systemy ERP (Symfonia, Optima):</w:t>
      </w:r>
      <w:r w:rsidDel="00000000" w:rsidR="00000000" w:rsidRPr="00000000">
        <w:rPr>
          <w:rtl w:val="0"/>
        </w:rPr>
        <w:t xml:space="preserve"> Odbiorcy paczek integracyjnych (CSV/XML).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Dostawcy Poczty (OAuth2 - Microsoft 365 / Google Workspace):</w:t>
      </w:r>
      <w:r w:rsidDel="00000000" w:rsidR="00000000" w:rsidRPr="00000000">
        <w:rPr>
          <w:rtl w:val="0"/>
        </w:rPr>
        <w:t xml:space="preserve"> Wykorzystywani do autoryzowanej wysyłki zapytań o dokumenty w imieniu spółek klientów (eliminacja własnej infrastruktury SMTP/DKIM dla obcych domen).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Azure OpenAI (ZDR):</w:t>
      </w:r>
      <w:r w:rsidDel="00000000" w:rsidR="00000000" w:rsidRPr="00000000">
        <w:rPr>
          <w:rtl w:val="0"/>
        </w:rPr>
        <w:t xml:space="preserve"> Zewnętrzny interfejs LLM z włączoną flagą Zero Data Retention do transkrypcji Whisper na słabszych urządzeniach mobilnych.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7378dfseqk5s" w:id="4"/>
      <w:bookmarkEnd w:id="4"/>
      <w:r w:rsidDel="00000000" w:rsidR="00000000" w:rsidRPr="00000000">
        <w:rPr>
          <w:sz w:val="34"/>
          <w:szCs w:val="34"/>
          <w:rtl w:val="0"/>
        </w:rPr>
        <w:t xml:space="preserve">Poziom 2: Kontenery (Container Diagram)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Architektura wewnętrzna systemu NoFiCo została zaprojektowana w oparciu o mikrousługi i architekturę zdarzeniową (Event-Driven), hostowaną w chmurze Microsoft Azure. Zastosowano suwerenność danych (Geo-Partitioning) z klastrami w EU-East i EU-West.</w:t>
      </w:r>
    </w:p>
    <w:p w:rsidR="00000000" w:rsidDel="00000000" w:rsidP="00000000" w:rsidRDefault="00000000" w:rsidRPr="00000000" w14:paraId="0000001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m1m8b4slmpgw" w:id="5"/>
      <w:bookmarkEnd w:id="5"/>
      <w:r w:rsidDel="00000000" w:rsidR="00000000" w:rsidRPr="00000000">
        <w:rPr>
          <w:sz w:val="26"/>
          <w:szCs w:val="26"/>
          <w:rtl w:val="0"/>
        </w:rPr>
        <w:t xml:space="preserve">1. Aplikacje Klienckie (Warstwa Prezentacji)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Zgodnie z uwarunkowaniami prawno-technicznymi (dyrektywa EAA/WCAG) oraz optymalizacją UX, warstwa frontendowa dzieli się na dwa izolowane technologicznie środowiska: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Aplikacja NoFiCo Core (Mobile/Desktop)</w:t>
      </w:r>
      <w:r w:rsidDel="00000000" w:rsidR="00000000" w:rsidRPr="00000000">
        <w:rPr>
          <w:rtl w:val="0"/>
        </w:rPr>
        <w:t xml:space="preserve">: * Technologia: Flutter (Kompilacja natywna do iOS, Android, macOS, Windows).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Odbiorcy</w:t>
      </w:r>
      <w:r w:rsidDel="00000000" w:rsidR="00000000" w:rsidRPr="00000000">
        <w:rPr>
          <w:rtl w:val="0"/>
        </w:rPr>
        <w:t xml:space="preserve">: Właściciele, Managerowie, Pracownicy liniowi.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Zadania</w:t>
      </w:r>
      <w:r w:rsidDel="00000000" w:rsidR="00000000" w:rsidRPr="00000000">
        <w:rPr>
          <w:rtl w:val="0"/>
        </w:rPr>
        <w:t xml:space="preserve">: Codzienna operacyjność, natywna integracja ze sprzętem (Kamera do OCR z AI Guardianem, Mikrofon do notatek Whisper AI), autoryzacja bankowa (PSD2), przeglądanie dashboardów, szybkie akceptacje zwrotów kosztów (Out-of-pocket).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 Portal dla Księgowości (Portal Audytorski)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Technologia</w:t>
      </w:r>
      <w:r w:rsidDel="00000000" w:rsidR="00000000" w:rsidRPr="00000000">
        <w:rPr>
          <w:rtl w:val="0"/>
        </w:rPr>
        <w:t xml:space="preserve">: React.js lub Vue.js (Architektura oparta na klasycznym DOM).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Odbiorcy</w:t>
      </w:r>
      <w:r w:rsidDel="00000000" w:rsidR="00000000" w:rsidRPr="00000000">
        <w:rPr>
          <w:rtl w:val="0"/>
        </w:rPr>
        <w:t xml:space="preserve">: Zewnętrzne Biura Rachunkowe, Audytorzy, Doradcy Podatkowi.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Zadania</w:t>
      </w:r>
      <w:r w:rsidDel="00000000" w:rsidR="00000000" w:rsidRPr="00000000">
        <w:rPr>
          <w:rtl w:val="0"/>
        </w:rPr>
        <w:t xml:space="preserve">: Niezawodne renderowanie wielotysięcznych tabel rozrachunkowych, natywna obsługa skrótów klawiszowych (wyszukiwanie, zaznaczanie), bezproblemowa współpraca z systemowymi asystentami ułatwień dostępu (Screen Readers) w celu zgodności z prawem unijnym. Środowisko służy głównie do weryfikacji i pobierania ustrukturyzowanych paczek danych (FEC/camt.053) do systemów ERP.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x01e07ckfn4p" w:id="6"/>
      <w:bookmarkEnd w:id="6"/>
      <w:r w:rsidDel="00000000" w:rsidR="00000000" w:rsidRPr="00000000">
        <w:rPr>
          <w:sz w:val="26"/>
          <w:szCs w:val="26"/>
          <w:rtl w:val="0"/>
        </w:rPr>
        <w:t xml:space="preserve">2. Aplikacja Mobilna (iOS / Android)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Technologia:</w:t>
      </w:r>
      <w:r w:rsidDel="00000000" w:rsidR="00000000" w:rsidRPr="00000000">
        <w:rPr>
          <w:rtl w:val="0"/>
        </w:rPr>
        <w:t xml:space="preserve"> Flutter, SQLite, Edge AI.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Narzędzie dla Pracowników i Managerów. Posiada wbudowany </w:t>
      </w:r>
      <w:r w:rsidDel="00000000" w:rsidR="00000000" w:rsidRPr="00000000">
        <w:rPr>
          <w:b w:val="1"/>
          <w:bCs w:val="1"/>
          <w:rtl w:val="0"/>
        </w:rPr>
        <w:t xml:space="preserve">Lokalny Magazyn Kryptograficzny</w:t>
      </w:r>
      <w:r w:rsidDel="00000000" w:rsidR="00000000" w:rsidRPr="00000000">
        <w:rPr>
          <w:rtl w:val="0"/>
        </w:rPr>
        <w:t xml:space="preserve"> dla modułu </w:t>
      </w:r>
      <w:r w:rsidDel="00000000" w:rsidR="00000000" w:rsidRPr="00000000">
        <w:rPr>
          <w:b w:val="1"/>
          <w:bCs w:val="1"/>
          <w:rtl w:val="0"/>
        </w:rPr>
        <w:t xml:space="preserve">KSeF Offline24</w:t>
      </w:r>
      <w:r w:rsidDel="00000000" w:rsidR="00000000" w:rsidRPr="00000000">
        <w:rPr>
          <w:rtl w:val="0"/>
        </w:rPr>
        <w:t xml:space="preserve">. Podczas awarii MF dokumenty są tu szyfrowane, blokowane przed edycją w UI i oczekują na asynchroniczną wysyłkę. Zawiera również lokalne modele NPU do transkrypcji głosowej (Edge AI).</w:t>
      </w:r>
    </w:p>
    <w:p w:rsidR="00000000" w:rsidDel="00000000" w:rsidP="00000000" w:rsidRDefault="00000000" w:rsidRPr="00000000" w14:paraId="0000002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11y1c1hw4bvc" w:id="7"/>
      <w:bookmarkEnd w:id="7"/>
      <w:r w:rsidDel="00000000" w:rsidR="00000000" w:rsidRPr="00000000">
        <w:rPr>
          <w:sz w:val="26"/>
          <w:szCs w:val="26"/>
          <w:rtl w:val="0"/>
        </w:rPr>
        <w:t xml:space="preserve">3. Edge Proxy &amp; Ingress Controller (Zarządzanie Ruchem)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Technologia</w:t>
      </w:r>
      <w:r w:rsidDel="00000000" w:rsidR="00000000" w:rsidRPr="00000000">
        <w:rPr>
          <w:rtl w:val="0"/>
        </w:rPr>
        <w:t xml:space="preserve">: NGINX Ingress Controller lub Envoy Proxy (osadzony w ramach środowiska Azure Container Apps). Odłożenie wdrożenia Azure API Management Premium do fazy Enterprise.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Kontekst i Eliminacja Niejasności</w:t>
      </w:r>
      <w:r w:rsidDel="00000000" w:rsidR="00000000" w:rsidRPr="00000000">
        <w:rPr>
          <w:rtl w:val="0"/>
        </w:rPr>
        <w:t xml:space="preserve">: Wymóg wdrożenia rozwiązania klasy APIM (Azure API Management) w warstwie z integracją VNet generuje drastyczne koszty stałe na starcie projektu. Zespół deweloperski ma zakaz stosowania drogiego APIM do wewnętrznego routingu. Funkcje obronne przejmuje znacznie tańszy, ale równie bezpieczny Ingress Controller.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Wytyczne dla Zespołu Infrastruktury i Bezpieczeństwa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Single Point of Entry</w:t>
      </w:r>
      <w:r w:rsidDel="00000000" w:rsidR="00000000" w:rsidRPr="00000000">
        <w:rPr>
          <w:rtl w:val="0"/>
        </w:rPr>
        <w:t xml:space="preserve">: Kontroler Ingress jest jedynym punktem styku sieci publicznej z naszą infrastrukturą mikrousług.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Terminacja mTLS</w:t>
      </w:r>
      <w:r w:rsidDel="00000000" w:rsidR="00000000" w:rsidRPr="00000000">
        <w:rPr>
          <w:rtl w:val="0"/>
        </w:rPr>
        <w:t xml:space="preserve">: Kontroler odpowiada za nawiązywanie i szyfrowanie połączeń transportowych.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Delegacja Autoryzacji (OAuth2/JWT</w:t>
      </w:r>
      <w:r w:rsidDel="00000000" w:rsidR="00000000" w:rsidRPr="00000000">
        <w:rPr>
          <w:rtl w:val="0"/>
        </w:rPr>
        <w:t xml:space="preserve">): Zanim zapytanie trafi do mikrousługi (np. bazy transakcyjnej), Ingress wykorzystuje mechanizm `auth-request`, weryfikując token JWT na dedykowanym serwisie IAM. Tylko poprawnie zdekodowany kontekst (w tym `tenant_id`) jest przepuszczany dalej w nagłówkach bezpiecznej sieci wewnętrznej.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Ochrona L7</w:t>
      </w:r>
      <w:r w:rsidDel="00000000" w:rsidR="00000000" w:rsidRPr="00000000">
        <w:rPr>
          <w:rtl w:val="0"/>
        </w:rPr>
        <w:t xml:space="preserve">: Kontroler aplikuje sztywne limity zapytań (Rate-Limiting) chroniąc system przed atakami wolumetrycznymi, bez konieczności angażowania kosztownych zasobów w warstwach wyższych.</w:t>
      </w:r>
    </w:p>
    <w:p w:rsidR="00000000" w:rsidDel="00000000" w:rsidP="00000000" w:rsidRDefault="00000000" w:rsidRPr="00000000" w14:paraId="0000002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snr9nns61b40" w:id="8"/>
      <w:bookmarkEnd w:id="8"/>
      <w:r w:rsidDel="00000000" w:rsidR="00000000" w:rsidRPr="00000000">
        <w:rPr>
          <w:sz w:val="26"/>
          <w:szCs w:val="26"/>
          <w:rtl w:val="0"/>
        </w:rPr>
        <w:t xml:space="preserve">4. Core Engine &amp; Orchestrator (Temporal.io)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Technologia:</w:t>
      </w:r>
      <w:r w:rsidDel="00000000" w:rsidR="00000000" w:rsidRPr="00000000">
        <w:rPr>
          <w:rtl w:val="0"/>
        </w:rPr>
        <w:t xml:space="preserve"> Go / NestJS, </w:t>
      </w:r>
      <w:r w:rsidDel="00000000" w:rsidR="00000000" w:rsidRPr="00000000">
        <w:rPr>
          <w:b w:val="1"/>
          <w:bCs w:val="1"/>
          <w:rtl w:val="0"/>
        </w:rPr>
        <w:t xml:space="preserve">Temporal.io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Serce biznesowe aplikacji. Zastępuje tradycyjne wzorce SAGA i brokerów wiadomości (takich jak RabbitMQ) w procesach transakcyjnych. Zarządza stanowymi procesami biznesowymi (Workflows): ponawianiem wysyłek KSeF, synchronizacją limitów Stripe, eksportem do WORM. Gwarantuje wykonanie (Exponential Backoff with Jitter) bez ryzyka korupcji danych.</w:t>
      </w:r>
    </w:p>
    <w:p w:rsidR="00000000" w:rsidDel="00000000" w:rsidP="00000000" w:rsidRDefault="00000000" w:rsidRPr="00000000" w14:paraId="0000003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e4tb4jy86kp" w:id="9"/>
      <w:bookmarkEnd w:id="9"/>
      <w:r w:rsidDel="00000000" w:rsidR="00000000" w:rsidRPr="00000000">
        <w:rPr>
          <w:sz w:val="26"/>
          <w:szCs w:val="26"/>
          <w:rtl w:val="0"/>
        </w:rPr>
        <w:t xml:space="preserve">5. Relacyjna Baza Danych Transakcyjnych (Vault DB)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Azure Database for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Architektura hybrydowa wielofirmowości. Schemat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(public) trzyma dane IAM i subskrypcje. Schematy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tenant_X</w:t>
      </w:r>
      <w:r w:rsidDel="00000000" w:rsidR="00000000" w:rsidRPr="00000000">
        <w:rPr>
          <w:rtl w:val="0"/>
        </w:rPr>
        <w:t xml:space="preserve"> przechowują ściśle izolowane wrażliwe dane finansowe z aktywnym mechanizmem Row-Level Security (RLS). Operacje zapisu odbywają się wyłącznie tutaj (Double-entry bookkeeping).</w:t>
      </w:r>
    </w:p>
    <w:p w:rsidR="00000000" w:rsidDel="00000000" w:rsidP="00000000" w:rsidRDefault="00000000" w:rsidRPr="00000000" w14:paraId="0000003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chsvzwivzivh" w:id="10"/>
      <w:bookmarkEnd w:id="10"/>
      <w:r w:rsidDel="00000000" w:rsidR="00000000" w:rsidRPr="00000000">
        <w:rPr>
          <w:sz w:val="26"/>
          <w:szCs w:val="26"/>
          <w:rtl w:val="0"/>
        </w:rPr>
        <w:t xml:space="preserve">6. ## 6. Read Model - Moduł Odczytu CQRS (Zdenormalizowany Dashboard)</w:t>
      </w:r>
    </w:p>
    <w:p w:rsidR="00000000" w:rsidDel="00000000" w:rsidP="00000000" w:rsidRDefault="00000000" w:rsidRPr="00000000" w14:paraId="0000003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chsvzwivzivh" w:id="10"/>
      <w:bookmarkEnd w:id="10"/>
      <w:r w:rsidDel="00000000" w:rsidR="00000000" w:rsidRPr="00000000">
        <w:rPr>
          <w:sz w:val="22"/>
          <w:szCs w:val="22"/>
          <w:rtl w:val="0"/>
        </w:rPr>
        <w:t xml:space="preserve">Technologia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Azure Cache for Redis (zamiast drogiego Azure Cosmos 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80" w:before="280" w:lineRule="auto"/>
        <w:rPr>
          <w:b w:val="0"/>
          <w:bCs w:val="0"/>
          <w:sz w:val="22"/>
          <w:szCs w:val="22"/>
        </w:rPr>
      </w:pPr>
      <w:bookmarkStart w:colFirst="0" w:colLast="0" w:name="_chsvzwivzivh" w:id="10"/>
      <w:bookmarkEnd w:id="10"/>
      <w:r w:rsidDel="00000000" w:rsidR="00000000" w:rsidRPr="00000000">
        <w:rPr>
          <w:sz w:val="22"/>
          <w:szCs w:val="22"/>
          <w:rtl w:val="0"/>
        </w:rPr>
        <w:t xml:space="preserve">Opis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Półpłaska architektura zdenormalizowana, optymalizująca koszty chmurowe dla fazy start-up / growth, zachowując jakość Premium. Zamiast płacić stałe koszty (RU/s) za Cosmos DB dla danych dashboardowych, Core Engine asynchronicznie emituje gotowe, spłaszczone paczki JSON do pamięci podręcznej Redis (RedisJSON).</w:t>
      </w:r>
    </w:p>
    <w:p w:rsidR="00000000" w:rsidDel="00000000" w:rsidP="00000000" w:rsidRDefault="00000000" w:rsidRPr="00000000" w14:paraId="00000037">
      <w:pPr>
        <w:pStyle w:val="Heading3"/>
        <w:spacing w:after="80" w:before="280" w:lineRule="auto"/>
        <w:rPr>
          <w:b w:val="0"/>
          <w:bCs w:val="0"/>
          <w:sz w:val="26"/>
          <w:szCs w:val="26"/>
        </w:rPr>
      </w:pPr>
      <w:bookmarkStart w:colFirst="0" w:colLast="0" w:name="_lg9t85y3rs44" w:id="11"/>
      <w:bookmarkEnd w:id="1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Zewnętrzni Doradcy i Księgowe odpytują bezpośrednio Redisa, uzyskując czasy odpowiedzi poniżej 15ms. Redis przechowuje jedynie "gorące" dane odczytowe dla Globalnych Dashboardów. Ogranicza to koszty stałe infrastruktury o około 70% przy jednoczesnym przyspieszeniu renderingu na froncie.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80" w:before="280" w:lineRule="auto"/>
        <w:rPr/>
      </w:pPr>
      <w:bookmarkStart w:colFirst="0" w:colLast="0" w:name="_l5j8bzwwb2a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uv04az69wbwy" w:id="13"/>
      <w:bookmarkEnd w:id="13"/>
      <w:r w:rsidDel="00000000" w:rsidR="00000000" w:rsidRPr="00000000">
        <w:rPr>
          <w:sz w:val="26"/>
          <w:szCs w:val="26"/>
          <w:rtl w:val="0"/>
        </w:rPr>
        <w:t xml:space="preserve">7. Magazyn Archiwizacji i Logów Audytowych (WORM)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Azure Blob Storage (Immutable Storage)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Cyfrowy skarbiec realizujący wymogi GoBD i UoR. Skonfigurowany w trybie WORM (Write Once, Read Many). Zapisane tu paczki FEC, faktury XML KSeF z UPO oraz logi systemowe stają się niemożliwe do nadpisania lub skasowania nawet przez administratorów, aż do upłynięcia czasu retencji. W 100% zastępuje ryzykowne koncepcje Blockchain.</w:t>
      </w:r>
    </w:p>
    <w:p w:rsidR="00000000" w:rsidDel="00000000" w:rsidP="00000000" w:rsidRDefault="00000000" w:rsidRPr="00000000" w14:paraId="0000003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dodnbgkvzy1" w:id="14"/>
      <w:bookmarkEnd w:id="14"/>
      <w:r w:rsidDel="00000000" w:rsidR="00000000" w:rsidRPr="00000000">
        <w:rPr>
          <w:sz w:val="26"/>
          <w:szCs w:val="26"/>
          <w:rtl w:val="0"/>
        </w:rPr>
        <w:t xml:space="preserve">8. AI Guardian Worker (Backend) &amp; Edge Transformer (Frontend)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Technologia (Backend</w:t>
      </w:r>
      <w:r w:rsidDel="00000000" w:rsidR="00000000" w:rsidRPr="00000000">
        <w:rPr>
          <w:rtl w:val="0"/>
        </w:rPr>
        <w:t xml:space="preserve">): Python (FastAPI), Azure Storage (WORM). Technologia (Edge/Klient): Flutter (TensorFlow Lite / ONNX), lokalne modele wizyjne (np. YOLO-NAS, MobileNet), wektorowa matematyka lokalna.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Opis procesu "Privacy by Design</w:t>
      </w:r>
      <w:r w:rsidDel="00000000" w:rsidR="00000000" w:rsidRPr="00000000">
        <w:rPr>
          <w:rtl w:val="0"/>
        </w:rPr>
        <w:t xml:space="preserve">": Ze względu na tajemnicę finansową i RODO, surowy zrzut ekranu zawierający wrażliwe salda bankowe absolutnie nigdy nie opuszcza urządzenia użytkownika. Architektura opiera się na przetwarzaniu brzegowym (Edge Computing).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Krok 1. Analiza (Edge/Frontend</w:t>
      </w:r>
      <w:r w:rsidDel="00000000" w:rsidR="00000000" w:rsidRPr="00000000">
        <w:rPr>
          <w:rtl w:val="0"/>
        </w:rPr>
        <w:t xml:space="preserve">): Wbudowany w instalację aplikacji mobilnej/desktopowej lekki model AI analizuje surowy obraz całkowicie offline, w pamięci RAM urządzenia. Detekcja obszarów wrażliwych (np. kwota salda) oraz wyliczenie macierzy perspektywy (Deskew Matrix) odbywa się bez użycia połączenia sieciowego.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Krok 2. Cenzura (Edge/Frontend</w:t>
      </w:r>
      <w:r w:rsidDel="00000000" w:rsidR="00000000" w:rsidRPr="00000000">
        <w:rPr>
          <w:rtl w:val="0"/>
        </w:rPr>
        <w:t xml:space="preserve">): Aplikacja we frameworku Flutter nakłada lokalnie filtr matematyczny (Blur/Blackout) na wskazane koordynaty oraz wyprostowuje obraz.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Krok 3. Zapis i Transmisja</w:t>
      </w:r>
      <w:r w:rsidDel="00000000" w:rsidR="00000000" w:rsidRPr="00000000">
        <w:rPr>
          <w:rtl w:val="0"/>
        </w:rPr>
        <w:t xml:space="preserve">: Do infrastruktury chmurowej (Azure API) przesyłany jest wyłącznie obraz już wykadrowany, zabezpieczony i zamazany. Całkowicie eliminuje to wektory ataków Man-in-the-Middle dla danych surowych i zdejmuje z platformy ryzyko związane z nieświadomym przechowywaniem danych nieksięgowych.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