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rPr>
          <w:sz w:val="46"/>
          <w:szCs w:val="46"/>
        </w:rPr>
      </w:pPr>
      <w:bookmarkStart w:colFirst="0" w:colLast="0" w:name="_c85jylu0i7ui" w:id="0"/>
      <w:bookmarkEnd w:id="0"/>
      <w:r w:rsidDel="00000000" w:rsidR="00000000" w:rsidRPr="00000000">
        <w:rPr>
          <w:sz w:val="46"/>
          <w:szCs w:val="46"/>
          <w:rtl w:val="0"/>
        </w:rPr>
        <w:t xml:space="preserve">K3 Architektura NoFiCo: Rejestr Decyzji i Uzasadnienia (Zaktualizowany)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Data i czas wygenerowania:</w:t>
      </w:r>
      <w:r w:rsidDel="00000000" w:rsidR="00000000" w:rsidRPr="00000000">
        <w:rPr>
          <w:rtl w:val="0"/>
        </w:rPr>
        <w:t xml:space="preserve"> 10 kwietnia 2026 r. </w:t>
      </w:r>
      <w:r w:rsidDel="00000000" w:rsidR="00000000" w:rsidRPr="00000000">
        <w:rPr>
          <w:b w:val="1"/>
          <w:bCs w:val="1"/>
          <w:rtl w:val="0"/>
        </w:rPr>
        <w:t xml:space="preserve">Status:</w:t>
      </w:r>
      <w:r w:rsidDel="00000000" w:rsidR="00000000" w:rsidRPr="00000000">
        <w:rPr>
          <w:rtl w:val="0"/>
        </w:rPr>
        <w:t xml:space="preserve"> Zatwierdzony (Architektura Azure Unified)</w:t>
      </w:r>
    </w:p>
    <w:p w:rsidR="00000000" w:rsidDel="00000000" w:rsidP="00000000" w:rsidRDefault="00000000" w:rsidRPr="00000000" w14:paraId="00000003">
      <w:pPr>
        <w:pStyle w:val="Heading3"/>
        <w:spacing w:after="80" w:before="280" w:lineRule="auto"/>
        <w:rPr>
          <w:sz w:val="26"/>
          <w:szCs w:val="26"/>
        </w:rPr>
      </w:pPr>
      <w:bookmarkStart w:colFirst="0" w:colLast="0" w:name="_zetx7k5wv99n" w:id="1"/>
      <w:bookmarkEnd w:id="1"/>
      <w:r w:rsidDel="00000000" w:rsidR="00000000" w:rsidRPr="00000000">
        <w:rPr>
          <w:sz w:val="26"/>
          <w:szCs w:val="26"/>
          <w:rtl w:val="0"/>
        </w:rPr>
        <w:t xml:space="preserve">Wprowadzenie do Architektury Systemu FinTech Nowej Generacji</w:t>
      </w:r>
    </w:p>
    <w:p w:rsidR="00000000" w:rsidDel="00000000" w:rsidP="00000000" w:rsidRDefault="00000000" w:rsidRPr="00000000" w14:paraId="00000004">
      <w:pPr>
        <w:spacing w:after="240" w:before="240" w:lineRule="auto"/>
        <w:rPr/>
      </w:pPr>
      <w:r w:rsidDel="00000000" w:rsidR="00000000" w:rsidRPr="00000000">
        <w:rPr>
          <w:rtl w:val="0"/>
        </w:rPr>
        <w:t xml:space="preserve">Zaprojektowanie i wdrożenie systemu klasy FinTech, jakim jest NoFiCo (Smart Financial Controller), wymaga fundamentalnego odejścia od tradycyjnych wzorców inżynierii oprogramowania na rzecz podejścia hybrydowego, w którym architektura kodu jest nierozerwalnie związana z architekturą prawną i podatkową. W obliczu dynamicznych zmian legislacyjnych zaplanowanych na rok 2026, w tym pełnego wdrożenia Krajowego Systemu e-Faktur (KSeF) w Polsce, implementacji unijnej dyrektywy ViDA (VAT in the Digital Age), wejścia w życie restrykcji EU AI Act oraz ostatecznego przejścia globalnego systemu bankowego na standard ISO 20022, oprogramowanie musi być czymś więcej niż tylko platformą cyfrową.</w:t>
      </w:r>
    </w:p>
    <w:p w:rsidR="00000000" w:rsidDel="00000000" w:rsidP="00000000" w:rsidRDefault="00000000" w:rsidRPr="00000000" w14:paraId="00000005">
      <w:pPr>
        <w:spacing w:after="240" w:before="240" w:lineRule="auto"/>
        <w:rPr/>
      </w:pPr>
      <w:r w:rsidDel="00000000" w:rsidR="00000000" w:rsidRPr="00000000">
        <w:rPr>
          <w:rtl w:val="0"/>
        </w:rPr>
        <w:t xml:space="preserve">Musi stanowić cyfrowy skarbiec (Legal Vault) oraz inteligentnego asystenta, który proaktywnie chroni przedsiębiorcę przed odpowiedzialnością karno-skarbową, jednocześnie optymalizując procesy zarządcze.</w:t>
      </w:r>
    </w:p>
    <w:p w:rsidR="00000000" w:rsidDel="00000000" w:rsidP="00000000" w:rsidRDefault="00000000" w:rsidRPr="00000000" w14:paraId="00000006">
      <w:pPr>
        <w:spacing w:after="240" w:before="240" w:lineRule="auto"/>
        <w:rPr/>
      </w:pPr>
      <w:r w:rsidDel="00000000" w:rsidR="00000000" w:rsidRPr="00000000">
        <w:rPr>
          <w:rtl w:val="0"/>
        </w:rPr>
        <w:t xml:space="preserve">Nadrzędną filozofią projektową przyjętą dla systemu NoFiCo jest prymat bezpieczeństwa prawnego i ochrony danych osobowych nad wygodą użytkownika. Każda linijka kodu, struktura bazy danych oraz model uczenia maszynowego podlegają rygorystycznej ewaluacji pod kątem zgodności (Compliance by Design). Infrastruktura została zunifikowana w oparciu o ekosystem </w:t>
      </w:r>
      <w:r w:rsidDel="00000000" w:rsidR="00000000" w:rsidRPr="00000000">
        <w:rPr>
          <w:b w:val="1"/>
          <w:bCs w:val="1"/>
          <w:rtl w:val="0"/>
        </w:rPr>
        <w:t xml:space="preserve">Microsoft Azure</w:t>
      </w:r>
      <w:r w:rsidDel="00000000" w:rsidR="00000000" w:rsidRPr="00000000">
        <w:rPr>
          <w:rtl w:val="0"/>
        </w:rPr>
        <w:t xml:space="preserve">, co eliminuje opóźnienia i koszty transferu między chmurami (Egress Costs).</w:t>
      </w:r>
    </w:p>
    <w:p w:rsidR="00000000" w:rsidDel="00000000" w:rsidP="00000000" w:rsidRDefault="00000000" w:rsidRPr="00000000" w14:paraId="00000007">
      <w:pPr>
        <w:spacing w:after="240" w:before="240" w:lineRule="auto"/>
        <w:rPr/>
      </w:pPr>
      <w:r w:rsidDel="00000000" w:rsidR="00000000" w:rsidRPr="00000000">
        <w:rPr>
          <w:rtl w:val="0"/>
        </w:rPr>
        <w:t xml:space="preserve">Poniższy rejestr decyzji (ADR - Architecture Decision Record) dokumentuje kluczowe wybory technologiczne.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spacing w:after="80" w:before="280" w:lineRule="auto"/>
        <w:rPr>
          <w:sz w:val="26"/>
          <w:szCs w:val="26"/>
        </w:rPr>
      </w:pPr>
      <w:bookmarkStart w:colFirst="0" w:colLast="0" w:name="_7jfwbbmnsbv" w:id="2"/>
      <w:bookmarkEnd w:id="2"/>
      <w:r w:rsidDel="00000000" w:rsidR="00000000" w:rsidRPr="00000000">
        <w:rPr>
          <w:sz w:val="26"/>
          <w:szCs w:val="26"/>
          <w:rtl w:val="0"/>
        </w:rPr>
        <w:t xml:space="preserve">ADR-001: Archiwizacja Logów Audytowych (Azure Blob Immutable Storage vs Blockchain)</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Kontekst prawno-biznesowy:</w:t>
      </w:r>
      <w:r w:rsidDel="00000000" w:rsidR="00000000" w:rsidRPr="00000000">
        <w:rPr>
          <w:rtl w:val="0"/>
        </w:rPr>
        <w:t xml:space="preserve"> Prawo niemieckie (GoBD), jak i polskie (UoR), narzuca rygorystyczne wymogi względem niezmienności (Immutability) elektronicznych dowodów księgowych. Jednocześnie RODO definiuje tzw. "Prawo do bycia zapomnianym" (Art. 17).</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Decyzja:</w:t>
      </w:r>
      <w:r w:rsidDel="00000000" w:rsidR="00000000" w:rsidRPr="00000000">
        <w:rPr>
          <w:rtl w:val="0"/>
        </w:rPr>
        <w:t xml:space="preserve"> Zastosowanie natywnego rozwiązania </w:t>
      </w:r>
      <w:r w:rsidDel="00000000" w:rsidR="00000000" w:rsidRPr="00000000">
        <w:rPr>
          <w:b w:val="1"/>
          <w:bCs w:val="1"/>
          <w:rtl w:val="0"/>
        </w:rPr>
        <w:t xml:space="preserve">Azure Blob Storage w trybie Immutable Storage (WORM - Write Once, Read Many)</w:t>
      </w:r>
      <w:r w:rsidDel="00000000" w:rsidR="00000000" w:rsidRPr="00000000">
        <w:rPr>
          <w:rtl w:val="0"/>
        </w:rPr>
        <w:t xml:space="preserve"> z aktywną polityką Time-Based Retention. Kategoryczne odrzucenie rozwiązań z zakresu publicznego i prywatnego Blockchain (DLT/Web3).</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Uzasadnienie:</w:t>
      </w:r>
      <w:r w:rsidDel="00000000" w:rsidR="00000000" w:rsidRPr="00000000">
        <w:rPr>
          <w:rtl w:val="0"/>
        </w:rPr>
        <w:t xml:space="preserve"> Wpisanie wrażliwych informacji dotyczących płatności w łańcuch kryptograficzny (Blockchain) uniemożliwia ich usunięcie, drastycznie łamiąc zasady RODO. Technologia chmurowa Azure WORM zapewnia legalną niemożność nadpisania i skasowania chronionego dowodu księgowego na zdefiniowany okres (np. 5 lat), chroniąc przed atakami ransomware i modyfikacjami przez administratorów. Po przekroczeniu czasu retencji, pliki mogą zostać legalnie zniszczone na żądanie użytkownika.</w:t>
      </w:r>
    </w:p>
    <w:p w:rsidR="00000000" w:rsidDel="00000000" w:rsidP="00000000" w:rsidRDefault="00000000" w:rsidRPr="00000000" w14:paraId="0000000D">
      <w:pPr>
        <w:pStyle w:val="Heading3"/>
        <w:spacing w:after="80" w:before="280" w:lineRule="auto"/>
        <w:rPr>
          <w:sz w:val="26"/>
          <w:szCs w:val="26"/>
        </w:rPr>
      </w:pPr>
      <w:bookmarkStart w:colFirst="0" w:colLast="0" w:name="_b34loqh8h8i8" w:id="3"/>
      <w:bookmarkEnd w:id="3"/>
      <w:r w:rsidDel="00000000" w:rsidR="00000000" w:rsidRPr="00000000">
        <w:rPr>
          <w:sz w:val="26"/>
          <w:szCs w:val="26"/>
          <w:rtl w:val="0"/>
        </w:rPr>
        <w:t xml:space="preserve">ADR-002: Orkiestracja i Transakcje Rozproszone (Temporal.io vs SAGA/RabbitMQ)</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b w:val="1"/>
          <w:bCs w:val="1"/>
          <w:rtl w:val="0"/>
        </w:rPr>
        <w:t xml:space="preserve">Kontekst technologiczny:</w:t>
      </w:r>
      <w:r w:rsidDel="00000000" w:rsidR="00000000" w:rsidRPr="00000000">
        <w:rPr>
          <w:rtl w:val="0"/>
        </w:rPr>
        <w:t xml:space="preserve"> System musi zarządzać złożonymi transakcjami rozproszonymi (np. zapis OCR, aktualizacja limitu Stripe, eksport do ERP, notyfikacja).</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Decyzja:</w:t>
      </w:r>
      <w:r w:rsidDel="00000000" w:rsidR="00000000" w:rsidRPr="00000000">
        <w:rPr>
          <w:rtl w:val="0"/>
        </w:rPr>
        <w:t xml:space="preserve"> Zastosowanie silnika </w:t>
      </w:r>
      <w:r w:rsidDel="00000000" w:rsidR="00000000" w:rsidRPr="00000000">
        <w:rPr>
          <w:b w:val="1"/>
          <w:bCs w:val="1"/>
          <w:rtl w:val="0"/>
        </w:rPr>
        <w:t xml:space="preserve">Temporal.io</w:t>
      </w:r>
      <w:r w:rsidDel="00000000" w:rsidR="00000000" w:rsidRPr="00000000">
        <w:rPr>
          <w:rtl w:val="0"/>
        </w:rPr>
        <w:t xml:space="preserve"> jako fundamentu zarządzania stanem i orkiestracji mikrousług. Całkowita rezygnacja z brokera RabbitMQ w kontekście zarządzania ponowieniami (Retries) i logiki biznesowej.</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b w:val="1"/>
          <w:bCs w:val="1"/>
          <w:rtl w:val="0"/>
        </w:rPr>
        <w:t xml:space="preserve">Uzasadnienie:</w:t>
      </w:r>
      <w:r w:rsidDel="00000000" w:rsidR="00000000" w:rsidRPr="00000000">
        <w:rPr>
          <w:rtl w:val="0"/>
        </w:rPr>
        <w:t xml:space="preserve"> Ręczne implementowanie wzorca SAGA z wykorzystaniem kolejek wiadomości (RabbitMQ/Dead Letter Queues) prowadzi do nieskończonej złożoności przy obsłudze błędów (np. awaria sieci w połowie transakcji). Temporal.io natywnie obsługuje stan (Run-Time State Machine), gwarantując wykonanie kodu (Exponential Backoff with Jitter) bez ryzyka utraty lub korupcji danych finansowych. RabbitMQ zostaje wyeliminowany z architektury biznesowej. Szybki routing zdarzeń niefinansowych realizowany jest przez Azure Service Bus.</w:t>
      </w:r>
    </w:p>
    <w:p w:rsidR="00000000" w:rsidDel="00000000" w:rsidP="00000000" w:rsidRDefault="00000000" w:rsidRPr="00000000" w14:paraId="00000011">
      <w:pPr>
        <w:pStyle w:val="Heading3"/>
        <w:spacing w:after="80" w:before="280" w:lineRule="auto"/>
        <w:rPr>
          <w:sz w:val="26"/>
          <w:szCs w:val="26"/>
        </w:rPr>
      </w:pPr>
      <w:bookmarkStart w:colFirst="0" w:colLast="0" w:name="_4fag39dpzo7l" w:id="4"/>
      <w:bookmarkEnd w:id="4"/>
      <w:r w:rsidDel="00000000" w:rsidR="00000000" w:rsidRPr="00000000">
        <w:rPr>
          <w:sz w:val="26"/>
          <w:szCs w:val="26"/>
          <w:rtl w:val="0"/>
        </w:rPr>
        <w:t xml:space="preserve">ADR-003: Wielofirmowość, Baza Danych i Global Dashboard (Hybrydowy PostgreSQL + CQRS)</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bCs w:val="1"/>
          <w:rtl w:val="0"/>
        </w:rPr>
        <w:t xml:space="preserve">Kontekst biznesowy:</w:t>
      </w:r>
      <w:r w:rsidDel="00000000" w:rsidR="00000000" w:rsidRPr="00000000">
        <w:rPr>
          <w:rtl w:val="0"/>
        </w:rPr>
        <w:t xml:space="preserve"> Użytkownicy tacy jak "Zewnętrzny Doradca" obsługują do kilkunastu podmiotów (Tenantów). Potrzebują widoku "Global Dashboard", by widzieć statusy ze wszystkich firm jednocześnie.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Decyzja:</w:t>
      </w:r>
      <w:r w:rsidDel="00000000" w:rsidR="00000000" w:rsidRPr="00000000">
        <w:rPr>
          <w:rtl w:val="0"/>
        </w:rPr>
        <w:t xml:space="preserve"> Zastosowanie wzorca </w:t>
      </w:r>
      <w:r w:rsidDel="00000000" w:rsidR="00000000" w:rsidRPr="00000000">
        <w:rPr>
          <w:b w:val="1"/>
          <w:bCs w:val="1"/>
          <w:rtl w:val="0"/>
        </w:rPr>
        <w:t xml:space="preserve">CQRS (Command Query Responsibility Segregation)</w:t>
      </w:r>
      <w:r w:rsidDel="00000000" w:rsidR="00000000" w:rsidRPr="00000000">
        <w:rPr>
          <w:rtl w:val="0"/>
        </w:rPr>
        <w:t xml:space="preserve">. Transakcyjna baza danych to izolowane schematy z nałożonym Row-Level Security (RLS) w </w:t>
      </w:r>
      <w:r w:rsidDel="00000000" w:rsidR="00000000" w:rsidRPr="00000000">
        <w:rPr>
          <w:b w:val="1"/>
          <w:bCs w:val="1"/>
          <w:rtl w:val="0"/>
        </w:rPr>
        <w:t xml:space="preserve">Azure Database for PostgreSQL</w:t>
      </w:r>
      <w:r w:rsidDel="00000000" w:rsidR="00000000" w:rsidRPr="00000000">
        <w:rPr>
          <w:rtl w:val="0"/>
        </w:rPr>
        <w:t xml:space="preserve">. Widok odczytu dla dashboardu realizowany jest asynchronicznie przez </w:t>
      </w:r>
      <w:r w:rsidDel="00000000" w:rsidR="00000000" w:rsidRPr="00000000">
        <w:rPr>
          <w:b w:val="1"/>
          <w:bCs w:val="1"/>
          <w:rtl w:val="0"/>
        </w:rPr>
        <w:t xml:space="preserve">Azure Cosmos DB (NoSQL)</w:t>
      </w:r>
      <w:r w:rsidDel="00000000" w:rsidR="00000000" w:rsidRPr="00000000">
        <w:rPr>
          <w:rtl w:val="0"/>
        </w:rPr>
        <w:t xml:space="preserve">. Rezygnacja z agregacji typu </w:t>
      </w:r>
      <w:r w:rsidDel="00000000" w:rsidR="00000000" w:rsidRPr="00000000">
        <w:rPr>
          <w:rFonts w:ascii="Roboto Mono" w:cs="Roboto Mono" w:eastAsia="Roboto Mono" w:hAnsi="Roboto Mono"/>
          <w:color w:val="188038"/>
          <w:rtl w:val="0"/>
        </w:rPr>
        <w:t xml:space="preserve">UNION ALL</w:t>
      </w:r>
      <w:r w:rsidDel="00000000" w:rsidR="00000000" w:rsidRPr="00000000">
        <w:rPr>
          <w:rtl w:val="0"/>
        </w:rPr>
        <w:t xml:space="preserve"> w czasie rzeczywistym.</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bCs w:val="1"/>
          <w:rtl w:val="0"/>
        </w:rPr>
        <w:t xml:space="preserve">Uzasadnienie:</w:t>
      </w:r>
      <w:r w:rsidDel="00000000" w:rsidR="00000000" w:rsidRPr="00000000">
        <w:rPr>
          <w:rtl w:val="0"/>
        </w:rPr>
        <w:t xml:space="preserve"> Uruchamianie zapytań </w:t>
      </w:r>
      <w:r w:rsidDel="00000000" w:rsidR="00000000" w:rsidRPr="00000000">
        <w:rPr>
          <w:rFonts w:ascii="Roboto Mono" w:cs="Roboto Mono" w:eastAsia="Roboto Mono" w:hAnsi="Roboto Mono"/>
          <w:color w:val="188038"/>
          <w:rtl w:val="0"/>
        </w:rPr>
        <w:t xml:space="preserve">UNION ALL</w:t>
      </w:r>
      <w:r w:rsidDel="00000000" w:rsidR="00000000" w:rsidRPr="00000000">
        <w:rPr>
          <w:rtl w:val="0"/>
        </w:rPr>
        <w:t xml:space="preserve"> w poprzek 18 niezależnych, izolowanych schematów z RLS przy każdym odświeżeniu dashboardu doprowadziłoby do natychmiastowej blokady wątków bazy danych (Thundering Herd). Wzorzec CQRS pozwala na bezpieczne, asynchroniczne rzutowanie bezpiecznych danych (tylko statusy, bez kwot) do płaskiego magazynu odczytu (Read Model), gwarantując czas odpowiedzi UI poniżej 50ms bez obciążania bazy transakcyjnej.</w:t>
      </w:r>
    </w:p>
    <w:p w:rsidR="00000000" w:rsidDel="00000000" w:rsidP="00000000" w:rsidRDefault="00000000" w:rsidRPr="00000000" w14:paraId="00000015">
      <w:pPr>
        <w:pStyle w:val="Heading3"/>
        <w:spacing w:after="80" w:before="280" w:lineRule="auto"/>
        <w:rPr>
          <w:sz w:val="26"/>
          <w:szCs w:val="26"/>
        </w:rPr>
      </w:pPr>
      <w:bookmarkStart w:colFirst="0" w:colLast="0" w:name="_ics8hckvn1n7" w:id="5"/>
      <w:bookmarkEnd w:id="5"/>
      <w:r w:rsidDel="00000000" w:rsidR="00000000" w:rsidRPr="00000000">
        <w:rPr>
          <w:sz w:val="26"/>
          <w:szCs w:val="26"/>
          <w:rtl w:val="0"/>
        </w:rPr>
        <w:t xml:space="preserve">ADR-004: Paradygmat AI Guardian: ZDR, Auto-Blur i "Człowiek w pętli"</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Kontekst prawno-podatkowy:</w:t>
      </w:r>
      <w:r w:rsidDel="00000000" w:rsidR="00000000" w:rsidRPr="00000000">
        <w:rPr>
          <w:rtl w:val="0"/>
        </w:rPr>
        <w:t xml:space="preserve"> Przetworzenie cyfrowego dokumentu wymaga ostatecznej kategoryzacji podatkowej (KUP/NKUP). Pracownicy wykonują zrzuty ekranu przelewów z prywatnych aplikacji bankowych, ryzykując przekazanie do biura rachunkowego wrażliwego salda konta. EU AI Act klasyfikuje zautomatyzowane systemy jako wysokie ryzyko.</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Decyzja:</w:t>
      </w:r>
      <w:r w:rsidDel="00000000" w:rsidR="00000000" w:rsidRPr="00000000">
        <w:rPr>
          <w:rtl w:val="0"/>
        </w:rPr>
        <w:t xml:space="preserve"> Bezwzględne zastosowanie modelu "Human-in-the-loop" (brak automatycznego księgowania bez akceptacji). Wdrożenie transformacji geometrycznej (Deskew) przed nałożeniem maski Auto-Blur. Użycie modeli </w:t>
      </w:r>
      <w:r w:rsidDel="00000000" w:rsidR="00000000" w:rsidRPr="00000000">
        <w:rPr>
          <w:b w:val="1"/>
          <w:bCs w:val="1"/>
          <w:rtl w:val="0"/>
        </w:rPr>
        <w:t xml:space="preserve">Microsoft Azure OpenAI z flagą ZDR (Zero Data Retention)</w:t>
      </w:r>
      <w:r w:rsidDel="00000000" w:rsidR="00000000" w:rsidRPr="00000000">
        <w:rPr>
          <w:rtl w:val="0"/>
        </w:rPr>
        <w:t xml:space="preserve"> do transkrypcji.</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Uzasadnienie:</w:t>
      </w:r>
      <w:r w:rsidDel="00000000" w:rsidR="00000000" w:rsidRPr="00000000">
        <w:rPr>
          <w:rtl w:val="0"/>
        </w:rPr>
        <w:t xml:space="preserve"> Automatyczne deklarowanie skutków podatkowych przez AI łamie zasady transparentności. W kwestii ukrywania salda (Auto-Blur): naiwne poleganie na koordynatach maski nakładanej na "krzywy" zrzut ekranu prowadzi do wycieków danych. Algorytm w pierwszej kolejności zmusza dokument do wyprostowania się (Deskew), dopiero wtedy nakłada Blur. System wymusza interaktywne powiększenie (Zoom-in) zacenzurowanego obszaru przed kliknięciem akceptacji. Modele chmurowe działają z flagą ZDR – dane nie są zapisywane i nie trenują modeli dostawcy.</w:t>
      </w:r>
    </w:p>
    <w:p w:rsidR="00000000" w:rsidDel="00000000" w:rsidP="00000000" w:rsidRDefault="00000000" w:rsidRPr="00000000" w14:paraId="00000019">
      <w:pPr>
        <w:pStyle w:val="Heading3"/>
        <w:spacing w:after="80" w:before="280" w:lineRule="auto"/>
        <w:rPr>
          <w:sz w:val="26"/>
          <w:szCs w:val="26"/>
        </w:rPr>
      </w:pPr>
      <w:bookmarkStart w:colFirst="0" w:colLast="0" w:name="_sd5gsycatcf4" w:id="6"/>
      <w:bookmarkEnd w:id="6"/>
      <w:r w:rsidDel="00000000" w:rsidR="00000000" w:rsidRPr="00000000">
        <w:rPr>
          <w:sz w:val="26"/>
          <w:szCs w:val="26"/>
          <w:rtl w:val="0"/>
        </w:rPr>
        <w:t xml:space="preserve">ADR-005: Tryb KSeF Offline24 - Magazyn Kryptograficzny</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Kontekst biznesowy:</w:t>
      </w:r>
      <w:r w:rsidDel="00000000" w:rsidR="00000000" w:rsidRPr="00000000">
        <w:rPr>
          <w:rtl w:val="0"/>
        </w:rPr>
        <w:t xml:space="preserve"> Awaria API Ministerstwa Finansów (KSeF) nie może wstrzymać pracy przedsiębiorcy. Dokumenty muszą być wystawione i oczekiwać na wysyłkę.</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Decyzja:</w:t>
      </w:r>
      <w:r w:rsidDel="00000000" w:rsidR="00000000" w:rsidRPr="00000000">
        <w:rPr>
          <w:rtl w:val="0"/>
        </w:rPr>
        <w:t xml:space="preserve"> Implementacja lokalnego magazynu kryptograficznego dla wygenerowanych plików XML (tryb awaryjny) z twardą blokadą interfejsu (UI Block).</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Uzasadnienie:</w:t>
      </w:r>
      <w:r w:rsidDel="00000000" w:rsidR="00000000" w:rsidRPr="00000000">
        <w:rPr>
          <w:rtl w:val="0"/>
        </w:rPr>
        <w:t xml:space="preserve"> Dokument KSeF nie jest zwykłym e-mailem – data jego skutecznego przesłania (UPO) to data powstania obowiązku VAT. Aplikacja generuje plik ustrukturyzowany, szyfruje go i dodaje do Temporal.io w celu asynchronicznej wysyłki. Od tego momentu dokument w interfejsie aplikacji otrzymuje status "Locked" – nie może zostać usunięty, ani edytowany. Zdjęcie blokady lub przesunięcie do WORM następuje dopiero po kryptograficznym potwierdzeniu nadania numeru KSeF.</w:t>
      </w:r>
    </w:p>
    <w:p w:rsidR="00000000" w:rsidDel="00000000" w:rsidP="00000000" w:rsidRDefault="00000000" w:rsidRPr="00000000" w14:paraId="0000001D">
      <w:pPr>
        <w:pStyle w:val="Heading3"/>
        <w:spacing w:after="80" w:before="280" w:lineRule="auto"/>
        <w:rPr/>
      </w:pPr>
      <w:bookmarkStart w:colFirst="0" w:colLast="0" w:name="_f99iz6sg8flj" w:id="7"/>
      <w:bookmarkEnd w:id="7"/>
      <w:r w:rsidDel="00000000" w:rsidR="00000000" w:rsidRPr="00000000">
        <w:rPr>
          <w:sz w:val="26"/>
          <w:szCs w:val="26"/>
          <w:rtl w:val="0"/>
        </w:rPr>
        <w:t xml:space="preserve">ADR-006: Strategia Wieloplatformowości i Dostępności (WCAG) dla Interfejsów Webowych</w:t>
      </w:r>
      <w:r w:rsidDel="00000000" w:rsidR="00000000" w:rsidRPr="00000000">
        <w:rPr>
          <w:rtl w:val="0"/>
        </w:rPr>
      </w:r>
    </w:p>
    <w:p w:rsidR="00000000" w:rsidDel="00000000" w:rsidP="00000000" w:rsidRDefault="00000000" w:rsidRPr="00000000" w14:paraId="0000001E">
      <w:pPr>
        <w:numPr>
          <w:ilvl w:val="0"/>
          <w:numId w:val="7"/>
        </w:numPr>
        <w:spacing w:after="0" w:afterAutospacing="0" w:before="240" w:lineRule="auto"/>
        <w:ind w:left="720" w:hanging="360"/>
        <w:rPr/>
      </w:pPr>
      <w:r w:rsidDel="00000000" w:rsidR="00000000" w:rsidRPr="00000000">
        <w:rPr>
          <w:b w:val="1"/>
          <w:bCs w:val="1"/>
          <w:rtl w:val="0"/>
        </w:rPr>
        <w:t xml:space="preserve">Decyzja</w:t>
      </w:r>
      <w:r w:rsidDel="00000000" w:rsidR="00000000" w:rsidRPr="00000000">
        <w:rPr>
          <w:rtl w:val="0"/>
        </w:rPr>
        <w:t xml:space="preserve">: Rezygnacja z używania Flutter Web dla modułów księgowych i audytorskich. Ograniczenie frameworka Flutter wyłącznie do natywnych aplikacji mobilnych (iOS, Android) oraz desktopowych (macOS, Windows). Dla aplikacji webowej dedykowanej Księgowym i Zewnętrznym Doradcom wdrożenie lekkiego frameworka opartego na DOM (np. React.js lub Vue.js).</w:t>
      </w:r>
    </w:p>
    <w:p w:rsidR="00000000" w:rsidDel="00000000" w:rsidP="00000000" w:rsidRDefault="00000000" w:rsidRPr="00000000" w14:paraId="0000001F">
      <w:pPr>
        <w:numPr>
          <w:ilvl w:val="0"/>
          <w:numId w:val="7"/>
        </w:numPr>
        <w:spacing w:after="0" w:afterAutospacing="0" w:before="0" w:beforeAutospacing="0" w:lineRule="auto"/>
        <w:ind w:left="720" w:hanging="360"/>
        <w:rPr/>
      </w:pPr>
      <w:r w:rsidDel="00000000" w:rsidR="00000000" w:rsidRPr="00000000">
        <w:rPr>
          <w:b w:val="1"/>
          <w:bCs w:val="1"/>
          <w:rtl w:val="0"/>
        </w:rPr>
        <w:t xml:space="preserve">Uzasadnienie</w:t>
      </w:r>
      <w:r w:rsidDel="00000000" w:rsidR="00000000" w:rsidRPr="00000000">
        <w:rPr>
          <w:rtl w:val="0"/>
        </w:rPr>
        <w:t xml:space="preserve">: Technologia renderowania Flutter Web (CanvasKit) rysuje cały interfejs na pojedynczym płótnie, niszcząc natywne drzewo DOM. Uniemożliwia to czytnikom ekranu poprawne parsowanie danych, co stanowi bezpośrednie naruszenie unijnej dyrektywy o dostępności (EAA/WCAG). Utrzymywanie wbudowanego we Flutter drzewa semantycznego na potrzeby Web jest niestabilne i kosztowne.</w:t>
      </w:r>
    </w:p>
    <w:p w:rsidR="00000000" w:rsidDel="00000000" w:rsidP="00000000" w:rsidRDefault="00000000" w:rsidRPr="00000000" w14:paraId="00000020">
      <w:pPr>
        <w:numPr>
          <w:ilvl w:val="0"/>
          <w:numId w:val="7"/>
        </w:numPr>
        <w:spacing w:after="0" w:afterAutospacing="0" w:before="0" w:beforeAutospacing="0" w:lineRule="auto"/>
        <w:ind w:left="720" w:hanging="360"/>
        <w:rPr/>
      </w:pPr>
      <w:r w:rsidDel="00000000" w:rsidR="00000000" w:rsidRPr="00000000">
        <w:rPr>
          <w:b w:val="1"/>
          <w:bCs w:val="1"/>
          <w:rtl w:val="0"/>
        </w:rPr>
        <w:t xml:space="preserve">Implementacja</w:t>
      </w:r>
      <w:r w:rsidDel="00000000" w:rsidR="00000000" w:rsidRPr="00000000">
        <w:rPr>
          <w:rtl w:val="0"/>
        </w:rPr>
        <w:t xml:space="preserve">: - Aplikacje dla Właścicieli, Managerów i Pracowników (Mobile/Desktop) budowane we Flutterze.</w:t>
      </w:r>
    </w:p>
    <w:p w:rsidR="00000000" w:rsidDel="00000000" w:rsidP="00000000" w:rsidRDefault="00000000" w:rsidRPr="00000000" w14:paraId="00000021">
      <w:pPr>
        <w:numPr>
          <w:ilvl w:val="1"/>
          <w:numId w:val="7"/>
        </w:numPr>
        <w:spacing w:after="240" w:before="0" w:beforeAutospacing="0" w:lineRule="auto"/>
        <w:ind w:left="1440" w:hanging="360"/>
        <w:rPr/>
      </w:pPr>
      <w:r w:rsidDel="00000000" w:rsidR="00000000" w:rsidRPr="00000000">
        <w:rPr>
          <w:rtl w:val="0"/>
        </w:rPr>
        <w:t xml:space="preserve">"Księgowość Web Portal" (Read-Only/Eksport) budowana w React.js/Vue.js. Rozdzielenie frontendu pozwala zaoferować Księgowym w 100% natywną wydajność przeglądarkową (zaznaczanie tekstu, natywne wyszukiwanie Ctrl+F) przy niższym koszcie developmentu.</w:t>
      </w:r>
    </w:p>
    <w:p w:rsidR="00000000" w:rsidDel="00000000" w:rsidP="00000000" w:rsidRDefault="00000000" w:rsidRPr="00000000" w14:paraId="0000002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sz w:val="26"/>
          <w:szCs w:val="26"/>
          <w:rtl w:val="0"/>
        </w:rPr>
        <w:t xml:space="preserve">ADR-007: Infrastruktura jako Kod (IaC) generowana przez AI (Claude Code / RuFlo V3.5+)</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Kontekst i Zagrożenie:</w:t>
      </w:r>
      <w:r w:rsidDel="00000000" w:rsidR="00000000" w:rsidRPr="00000000">
        <w:rPr>
          <w:rtl w:val="0"/>
        </w:rPr>
        <w:t xml:space="preserve"> Zastosowanie autonomicznych agentów AI (Claude Code, RuFlo V3.5) do projektowania i wdrażania Infrastruktury jako Kodu (IaC) jest konieczne do optymalizacji czasu dostarczania wartości (Time-to-Market). Stanowi to jednak krytyczne wektor ataku i ryzyko naruszenia compliance (RODO, KNF, EU AI Act). Główne zagrożenia to:</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bCs w:val="1"/>
          <w:rtl w:val="0"/>
        </w:rPr>
        <w:t xml:space="preserve">Halucynacje konfiguracyjne:</w:t>
      </w:r>
      <w:r w:rsidDel="00000000" w:rsidR="00000000" w:rsidRPr="00000000">
        <w:rPr>
          <w:rtl w:val="0"/>
        </w:rPr>
        <w:t xml:space="preserve"> Pomyłki modeli AI mogą doprowadzić do wystawienia wrażliwych zasobów (np. bazy Cosmos DB z danymi transakcyjnymi czy kontenerów WORM) do publicznego internetu.</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Korupcja Stanu (State Corruption):</w:t>
      </w:r>
      <w:r w:rsidDel="00000000" w:rsidR="00000000" w:rsidRPr="00000000">
        <w:rPr>
          <w:rtl w:val="0"/>
        </w:rPr>
        <w:t xml:space="preserve"> Użycie rynkowego standardu, jakim jest Terraform, opiera się na pliku stanu (</w:t>
      </w:r>
      <w:r w:rsidDel="00000000" w:rsidR="00000000" w:rsidRPr="00000000">
        <w:rPr>
          <w:rFonts w:ascii="Roboto Mono" w:cs="Roboto Mono" w:eastAsia="Roboto Mono" w:hAnsi="Roboto Mono"/>
          <w:color w:val="188038"/>
          <w:rtl w:val="0"/>
        </w:rPr>
        <w:t xml:space="preserve">.tfstate</w:t>
      </w:r>
      <w:r w:rsidDel="00000000" w:rsidR="00000000" w:rsidRPr="00000000">
        <w:rPr>
          <w:rtl w:val="0"/>
        </w:rPr>
        <w:t xml:space="preserve">). Błędy AI w refaktoryzacji kodu mogą zniszczyć mapowanie stanu, prowadząc do przypadkowego usunięcia produkcyjnych baz danych.</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bCs w:val="1"/>
          <w:rtl w:val="0"/>
        </w:rPr>
        <w:t xml:space="preserve">Brak świadomości kosztowej (FinOps):</w:t>
      </w:r>
      <w:r w:rsidDel="00000000" w:rsidR="00000000" w:rsidRPr="00000000">
        <w:rPr>
          <w:rtl w:val="0"/>
        </w:rPr>
        <w:t xml:space="preserve"> AI bez nałożonych barier może swobodnie alokować zasoby w najwyższych planach taryfowych (np. Premium), drastycznie przekraczając budżet startupu.</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Decyzja:</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Odrzucenie Terraform na rzecz Azure Bicep:</w:t>
      </w:r>
      <w:r w:rsidDel="00000000" w:rsidR="00000000" w:rsidRPr="00000000">
        <w:rPr>
          <w:rtl w:val="0"/>
        </w:rPr>
        <w:t xml:space="preserve"> Całość IaC dla NoFiCo będzie pisana wyłącznie w języku Azure Bicep. Język ten jest bezstanowy (weryfikuje stan bezpośrednio z Azure Resource Manager) oraz silnie typowany, co minimalizuje margines błędów logicznych dla LLM.</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Architektura Mikro-Modułowa:</w:t>
      </w:r>
      <w:r w:rsidDel="00000000" w:rsidR="00000000" w:rsidRPr="00000000">
        <w:rPr>
          <w:rtl w:val="0"/>
        </w:rPr>
        <w:t xml:space="preserve"> Wprowadza się bezwzględny zakaz tworzenia monolitycznych plików konfiguracyjnych. Kod musi być rozbity na izolowane moduły (np. </w:t>
      </w:r>
      <w:r w:rsidDel="00000000" w:rsidR="00000000" w:rsidRPr="00000000">
        <w:rPr>
          <w:rFonts w:ascii="Roboto Mono" w:cs="Roboto Mono" w:eastAsia="Roboto Mono" w:hAnsi="Roboto Mono"/>
          <w:color w:val="188038"/>
          <w:rtl w:val="0"/>
        </w:rPr>
        <w:t xml:space="preserve">network.bicep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database.bicep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waf.bicep</w:t>
      </w:r>
      <w:r w:rsidDel="00000000" w:rsidR="00000000" w:rsidRPr="00000000">
        <w:rPr>
          <w:rtl w:val="0"/>
        </w:rPr>
        <w:t xml:space="preserve">), aby AI pracowało zawsze w wąskim, precyzyjnym kontekście.</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Zasada "AI Proponuje, Człowiek Dysponuje" (Human-in-the-loop):</w:t>
      </w:r>
      <w:r w:rsidDel="00000000" w:rsidR="00000000" w:rsidRPr="00000000">
        <w:rPr>
          <w:rtl w:val="0"/>
        </w:rPr>
        <w:t xml:space="preserve"> Modele AI mają absolutny zakaz bezpośredniego wdrażania zmian na środowiska chmurowe (DEV, STAGING, PRD). Każda zmiana infrastrukturalna musi przejść przez Pull Request.</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Bramka Bezpieczeństwa CI/CD (Gatekeeper):</w:t>
      </w:r>
      <w:r w:rsidDel="00000000" w:rsidR="00000000" w:rsidRPr="00000000">
        <w:rPr>
          <w:rtl w:val="0"/>
        </w:rPr>
        <w:t xml:space="preserve"> Potoki GitHub Actions muszą obligatoryjnie wykorzystywać mechanizm </w:t>
      </w:r>
      <w:r w:rsidDel="00000000" w:rsidR="00000000" w:rsidRPr="00000000">
        <w:rPr>
          <w:rFonts w:ascii="Roboto Mono" w:cs="Roboto Mono" w:eastAsia="Roboto Mono" w:hAnsi="Roboto Mono"/>
          <w:color w:val="188038"/>
          <w:rtl w:val="0"/>
        </w:rPr>
        <w:t xml:space="preserve">az deployment sub what-if</w:t>
      </w:r>
      <w:r w:rsidDel="00000000" w:rsidR="00000000" w:rsidRPr="00000000">
        <w:rPr>
          <w:rtl w:val="0"/>
        </w:rPr>
        <w:t xml:space="preserve">. Wynik symulacji wdrożenia (plan zmian) musi zostać ręcznie zatwierdzony przez Architekta przed wykonaniem operacji (Merge).</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bCs w:val="1"/>
          <w:rtl w:val="0"/>
        </w:rPr>
        <w:t xml:space="preserve">Shift-Left Security:</w:t>
      </w:r>
      <w:r w:rsidDel="00000000" w:rsidR="00000000" w:rsidRPr="00000000">
        <w:rPr>
          <w:rtl w:val="0"/>
        </w:rPr>
        <w:t xml:space="preserve"> Każdy wygenerowany przez AI kod musi zostać lokalnie zweryfikowany przez skanery statyczne (np. Checkov, PSRule dla Azure), aby zablokować tworzenie zasobów bez szyfrowania lub z błędnym RBAC jeszcze przed utworzeniem Pull Requesta.</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Uzasadnienie Prawno-Biznesowe:</w:t>
      </w:r>
      <w:r w:rsidDel="00000000" w:rsidR="00000000" w:rsidRPr="00000000">
        <w:rPr>
          <w:rtl w:val="0"/>
        </w:rPr>
        <w:t xml:space="preserve"> Zastosowanie Azure Bicep w połączeniu z twardym reżimem CI/CD (What-If) i skanerami bezpieczeństwa (Shift-Left) zdejmuje ryzyko "czarnej skrzynki" z generatywnej sztucznej inteligencji. Spełniamy w ten sposób kluczowe wymogi transparentności stawiane przez nadchodzący EU AI Act, jednocześnie chroniąc dane finansowe (RODO) przed przypadkowym ujawnieniem w wyniku błędu maszyny. Proces ten gwarantuje utrzymanie pełnej kontroli audytowej nad powstawaniem Cyfrowego Skarbca.</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