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wxksifxrbxm2" w:id="0"/>
      <w:bookmarkEnd w:id="0"/>
      <w:r w:rsidDel="00000000" w:rsidR="00000000" w:rsidRPr="00000000">
        <w:rPr>
          <w:sz w:val="46"/>
          <w:szCs w:val="46"/>
          <w:rtl w:val="0"/>
        </w:rPr>
        <w:t xml:space="preserve">K4 Projektowanie API dla NoFiCo (Zaktualizowany - Azure Unified)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 czas wygenerowania:</w:t>
      </w:r>
      <w:r w:rsidDel="00000000" w:rsidR="00000000" w:rsidRPr="00000000">
        <w:rPr>
          <w:rtl w:val="0"/>
        </w:rPr>
        <w:t xml:space="preserve"> 10 kwietnia 2026 r.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Zatwierdzony (Single Source of Truth)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Rozwój platformy FinTech SaaS "NoFiCo" (Smart Financial Controller) wymaga rygorystycznego podejścia do projektowania interfejsów programistycznych (API). Aplikacja operująca na wrażliwych danych finansowych mikrofirm, spółek z ograniczoną odpowiedzialnością oraz biur rachunkowych musi stanowić monolit bezpieczeństwa, przy jednoczesnym zachowaniu elastyczności dla wielu platform (Web, iOS, Android).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Poniższa specyfikacja nadpisuje wcześniejsze założenia, wprowadzając jednolity standard oparty o chmurę </w:t>
      </w:r>
      <w:r w:rsidDel="00000000" w:rsidR="00000000" w:rsidRPr="00000000">
        <w:rPr>
          <w:b w:val="1"/>
          <w:bCs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, silnik </w:t>
      </w:r>
      <w:r w:rsidDel="00000000" w:rsidR="00000000" w:rsidRPr="00000000">
        <w:rPr>
          <w:b w:val="1"/>
          <w:bCs w:val="1"/>
          <w:rtl w:val="0"/>
        </w:rPr>
        <w:t xml:space="preserve">Temporal.io</w:t>
      </w:r>
      <w:r w:rsidDel="00000000" w:rsidR="00000000" w:rsidRPr="00000000">
        <w:rPr>
          <w:rtl w:val="0"/>
        </w:rPr>
        <w:t xml:space="preserve"> oraz architekturę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/>
      </w:pPr>
      <w:bookmarkStart w:colFirst="0" w:colLast="0" w:name="_b5fnrz66le54" w:id="1"/>
      <w:bookmarkEnd w:id="1"/>
      <w:r w:rsidDel="00000000" w:rsidR="00000000" w:rsidRPr="00000000">
        <w:rPr>
          <w:sz w:val="26"/>
          <w:szCs w:val="26"/>
          <w:rtl w:val="0"/>
        </w:rPr>
        <w:t xml:space="preserve">1. Brama API (Smart API 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Decyzja</w:t>
      </w:r>
      <w:r w:rsidDel="00000000" w:rsidR="00000000" w:rsidRPr="00000000">
        <w:rPr>
          <w:rtl w:val="0"/>
        </w:rPr>
        <w:t xml:space="preserve">: Wstępna rezygnacja z usługi Azure API Management (APIM) w warstwie Premium na rzecz wdrożenia NGINX Ingress Controller (lub Envoy) na poziomie Azure Container Apps.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Uzasadnienie (Optymalizacja Kosztów)</w:t>
      </w:r>
      <w:r w:rsidDel="00000000" w:rsidR="00000000" w:rsidRPr="00000000">
        <w:rPr>
          <w:rtl w:val="0"/>
        </w:rPr>
        <w:t xml:space="preserve">: APIM Premium, wymagany do pełnej integracji z sieciami VNet, to koszt liczony w tysiącach euro miesięcznie. Na etapie budowy i skalowania start-upu jest to rozwiązanie nieuzasadnione ekonomicznie. Odpowiednio skonfigurowany kontroler Ingress (NGINX/Envoy) zapewnia terminację mTLS, walidację tokenów JWT za pomocą modułów Auth-Request oraz rate-limiting, zachowując rygor bezpieczeństwa (Security-First) przy ułamku kosztów.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Usługa APIM zostanie wprowadzona w fazie dojrzałości produktu, gdy zajdzie potrzeba monetyzacji otwartych interfejsów API dla zewnętrznych partnerów b2b.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sbte99zmz7d" w:id="2"/>
      <w:bookmarkEnd w:id="2"/>
      <w:r w:rsidDel="00000000" w:rsidR="00000000" w:rsidRPr="00000000">
        <w:rPr>
          <w:sz w:val="26"/>
          <w:szCs w:val="26"/>
          <w:rtl w:val="0"/>
        </w:rPr>
        <w:t xml:space="preserve">2. Izolacja Danych (Multi-tenant) w Warstwie API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Decyzja:</w:t>
      </w:r>
      <w:r w:rsidDel="00000000" w:rsidR="00000000" w:rsidRPr="00000000">
        <w:rPr>
          <w:rtl w:val="0"/>
        </w:rPr>
        <w:t xml:space="preserve"> Ścisłe powiązanie żądań API z mechanizmem Row-Level Security (RLS) w bazach Azure Database for PostgreSQL. Odrzucenie koncepcji horyzontalnych "mostów API" między tenantami. </w:t>
      </w:r>
      <w:r w:rsidDel="00000000" w:rsidR="00000000" w:rsidRPr="00000000">
        <w:rPr>
          <w:b w:val="1"/>
          <w:bCs w:val="1"/>
          <w:rtl w:val="0"/>
        </w:rPr>
        <w:t xml:space="preserve">Uzasadnienie i Implementacja:</w:t>
      </w:r>
      <w:r w:rsidDel="00000000" w:rsidR="00000000" w:rsidRPr="00000000">
        <w:rPr>
          <w:rtl w:val="0"/>
        </w:rPr>
        <w:t xml:space="preserve"> W systemach finansowych poleganie na filtracji danych na poziomie kodu aplikacji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tenant_id = X</w:t>
      </w:r>
      <w:r w:rsidDel="00000000" w:rsidR="00000000" w:rsidRPr="00000000">
        <w:rPr>
          <w:rtl w:val="0"/>
        </w:rPr>
        <w:t xml:space="preserve"> w ORM) to krytyczny błąd prowadzący do wycieków danych (Cross-tenant leaks).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Każde żądanie API (REST/GraphQL) po przejściu przez Gateway uderza do warstwy serwisowej, która otwiera transakcję w bazie.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Standardy Bezpieczeństwa Zapytań (Multi-Tenant Context w API):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Decyzja</w:t>
      </w:r>
      <w:r w:rsidDel="00000000" w:rsidR="00000000" w:rsidRPr="00000000">
        <w:rPr>
          <w:rtl w:val="0"/>
        </w:rPr>
        <w:t xml:space="preserve">: Kategoryczny zakaz bezpośredniego mutowania stanu sesji w bazie danych (eliminacja komendy `SET LOCAL app.current_tenant`).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Implementacja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Każdy przychodzący request do API musi zawierać zwalidowany token JWT (obsługiwany przez Edge Proxy / Ingress), z którego wyciągany jest parametr `tenant_id`.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Moduł warstwy dostępu do danych (Data Access Layer / ORM) w backendzie ma obowiązek automatycznie wstrzykiwać bezpieczny kontekst: `AND tenant_id = 'UUID_TENANTA'` do każdego zapytania bazodanowego (`SELECT`, `INSERT`, `UPDATE`, `DELETE`).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Gwarantuje to 100% odporność na wycieki danych (Cross-Tenant Data Leak) w architekturze korzystającej z puli połączeń (PgBouncer) na klastrach Azure Cosmos DB for PostgreSQL.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Próba wykonania zapytania bez nałożonego kontekstu musi skutkować twardym błędem bazy danych, a nie zwróceniem wszystkich rekordów.</w:t>
      </w:r>
    </w:p>
    <w:p w:rsidR="00000000" w:rsidDel="00000000" w:rsidP="00000000" w:rsidRDefault="00000000" w:rsidRPr="00000000" w14:paraId="0000001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9hfzyvo2tjb" w:id="3"/>
      <w:bookmarkEnd w:id="3"/>
      <w:r w:rsidDel="00000000" w:rsidR="00000000" w:rsidRPr="00000000">
        <w:rPr>
          <w:sz w:val="26"/>
          <w:szCs w:val="26"/>
          <w:rtl w:val="0"/>
        </w:rPr>
        <w:t xml:space="preserve">3. Architektura Odczytu (CQRS) bez Fallbacku do RDBMS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Decyzja</w:t>
      </w:r>
      <w:r w:rsidDel="00000000" w:rsidR="00000000" w:rsidRPr="00000000">
        <w:rPr>
          <w:rtl w:val="0"/>
        </w:rPr>
        <w:t xml:space="preserve">: Usunięcie mechanizmu automatycznego fallbacku do transakcyjnej bazy PostgreSQL w przypadku braku aktualnych danych w magazynie odczytu (CQRS Read Model). Pełne przejście na architekturę Reactive/Event-Driven z opóźnioną spójnością (Eventual Consistency).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Uzasadnienie</w:t>
      </w:r>
      <w:r w:rsidDel="00000000" w:rsidR="00000000" w:rsidRPr="00000000">
        <w:rPr>
          <w:rtl w:val="0"/>
        </w:rPr>
        <w:t xml:space="preserve">: Wykonywanie zapytań `UNION ALL` w głównej bazie PostgreSQL na kilkunastu schematach dla weryfikacji "świeżości" danych zrujnuje wydajność klastra (Thundering Herd Problem). Fallback niszczył całą ideę izolacji odciążającej główną bazę.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Implementacja API: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 Klient wysyła komendę mutującą (np. `POST /api/v1/expenses`). API zwraca natychmiast status `202 Accepted` oraz identyfikator operacji (np. `transaction_id`).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Użytkownik nie wykonuje synchronicznego odpytywania z fallbackiem. Zamiast tego API udostępnia dedykowany endpoint powiadomień (np. `GET /api/v1/sync-status` lub połączenie WebSocket poprzez Azure Web PubSub).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Aplikacja kliencka wyświetla odpowiedni UI stanu oczekiwania (Skeleton UI/Spinners) do momentu otrzymania asynchronicznego potwierdzenia, że model odczytu (Read Store) został zaktualizowany i można bezpiecznie wyświetlić dashboard.</w:t>
      </w:r>
    </w:p>
    <w:p w:rsidR="00000000" w:rsidDel="00000000" w:rsidP="00000000" w:rsidRDefault="00000000" w:rsidRPr="00000000" w14:paraId="0000001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eupgisfueoi" w:id="4"/>
      <w:bookmarkEnd w:id="4"/>
      <w:r w:rsidDel="00000000" w:rsidR="00000000" w:rsidRPr="00000000">
        <w:rPr>
          <w:sz w:val="26"/>
          <w:szCs w:val="26"/>
          <w:rtl w:val="0"/>
        </w:rPr>
        <w:t xml:space="preserve">4. Asynchroniczne API Transakcyjne (Temporal.io)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Decyzja:</w:t>
      </w:r>
      <w:r w:rsidDel="00000000" w:rsidR="00000000" w:rsidRPr="00000000">
        <w:rPr>
          <w:rtl w:val="0"/>
        </w:rPr>
        <w:t xml:space="preserve"> Zastąpienie kolejek RabbitMQ i ręcznych mechanizmów ponowień API wzorcem komunikacji asynchronicznej opartym o silnik </w:t>
      </w:r>
      <w:r w:rsidDel="00000000" w:rsidR="00000000" w:rsidRPr="00000000">
        <w:rPr>
          <w:b w:val="1"/>
          <w:bCs w:val="1"/>
          <w:rtl w:val="0"/>
        </w:rPr>
        <w:t xml:space="preserve">Temporal.io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Uzasadnienie i Implementacja:</w:t>
      </w:r>
      <w:r w:rsidDel="00000000" w:rsidR="00000000" w:rsidRPr="00000000">
        <w:rPr>
          <w:rtl w:val="0"/>
        </w:rPr>
        <w:t xml:space="preserve"> Długotrwałe procesy (np. autoryzacja KSeF, transkrypcja Whisper, generowanie pliku FEC) nie mogą blokować wątków HTTP.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Tradycyjne endpointy z czasem oczekiwania (Timeout) rzędu 30 sekund są odrzucone.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Jeśli użytkownik zleca przetworzenie dokumentu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/api/v1/documents/process</w:t>
      </w:r>
      <w:r w:rsidDel="00000000" w:rsidR="00000000" w:rsidRPr="00000000">
        <w:rPr>
          <w:rtl w:val="0"/>
        </w:rPr>
        <w:t xml:space="preserve">), API natychmiast zwraca kod </w:t>
      </w:r>
      <w:r w:rsidDel="00000000" w:rsidR="00000000" w:rsidRPr="00000000">
        <w:rPr>
          <w:b w:val="1"/>
          <w:bCs w:val="1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Prawdziwa praca zlecana jest do klastra Temporal. Aplikacja kliencka używa mechanizmu WebSockets (lub Long Polling), odpytując o status Workflow. Jeśli w tle wystąpi awaria sieci, Temporal wznowi proces od ostatniego punktu bez utraty danych. RabbitMQ w tym przypadku jest zbędny.</w:t>
      </w:r>
    </w:p>
    <w:p w:rsidR="00000000" w:rsidDel="00000000" w:rsidP="00000000" w:rsidRDefault="00000000" w:rsidRPr="00000000" w14:paraId="0000001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9m00l581wo2" w:id="5"/>
      <w:bookmarkEnd w:id="5"/>
      <w:r w:rsidDel="00000000" w:rsidR="00000000" w:rsidRPr="00000000">
        <w:rPr>
          <w:sz w:val="26"/>
          <w:szCs w:val="26"/>
          <w:rtl w:val="0"/>
        </w:rPr>
        <w:t xml:space="preserve">5. API dla Modułu AI Guardian (Auto-Blur i OCR)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Decyzja:</w:t>
      </w:r>
      <w:r w:rsidDel="00000000" w:rsidR="00000000" w:rsidRPr="00000000">
        <w:rPr>
          <w:rtl w:val="0"/>
        </w:rPr>
        <w:t xml:space="preserve"> Specyficzne kontrakty wymuszające twardą zgodność (Compliance) przed akceptacją ze strony serwera. Wdrożenie obsługi flagi Zero Data Retention (ZDR). </w:t>
      </w:r>
      <w:r w:rsidDel="00000000" w:rsidR="00000000" w:rsidRPr="00000000">
        <w:rPr>
          <w:b w:val="1"/>
          <w:bCs w:val="1"/>
          <w:rtl w:val="0"/>
        </w:rPr>
        <w:t xml:space="preserve">Uzasadnienie i Implementacja:</w:t>
      </w:r>
      <w:r w:rsidDel="00000000" w:rsidR="00000000" w:rsidRPr="00000000">
        <w:rPr>
          <w:rtl w:val="0"/>
        </w:rPr>
        <w:t xml:space="preserve"> Serwer nie może przyjąć polecenia zaksięgowania zrzutu ekranu, zanim aplikacja kliencka matematycznie nie udowodni, że użytkownik potwierdził i powiększył zacenzurowany obszar.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1 (Upload):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/api/v1/vision/analyze</w:t>
      </w:r>
      <w:r w:rsidDel="00000000" w:rsidR="00000000" w:rsidRPr="00000000">
        <w:rPr>
          <w:rtl w:val="0"/>
        </w:rPr>
        <w:t xml:space="preserve"> - Przyjmuje wyłącznie wykadrowany i zamazany obraz. Aplikacja kliencka we frameworku Flutter całkowicie offline przetwarza surowy zrzut ekranu (Edge AI), nakłada maskę Blur i wyprostowuje obraz wektorowo na Canvasie. Surowe zdjęcia sald bankowych absolutnie nigdy nie są wysyłane do tego (ani żadnego innego) endpointu ze względów bezpieczeństwa (Privacy by Design).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2 (Commit):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/api/v1/vision/commit</w:t>
      </w:r>
      <w:r w:rsidDel="00000000" w:rsidR="00000000" w:rsidRPr="00000000">
        <w:rPr>
          <w:rtl w:val="0"/>
        </w:rPr>
        <w:t xml:space="preserve"> - Przyjmuje wyprostowany obraz, wycinek potwierdzający powiększenie oraz sumę kontrolną akceptacji. Dopiero wtedy AI generuje rekomendację księgową (zgodność z Human-in-the-loop / EU AI Act).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Endpointy głosowe kierowane są do Azure OpenAI w formacie strumieniowym, w bezpiecznym trybie w pełni ulotnym (ZDR).</w:t>
      </w:r>
    </w:p>
    <w:p w:rsidR="00000000" w:rsidDel="00000000" w:rsidP="00000000" w:rsidRDefault="00000000" w:rsidRPr="00000000" w14:paraId="0000002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g60z4fmsnja" w:id="6"/>
      <w:bookmarkEnd w:id="6"/>
      <w:r w:rsidDel="00000000" w:rsidR="00000000" w:rsidRPr="00000000">
        <w:rPr>
          <w:sz w:val="26"/>
          <w:szCs w:val="26"/>
          <w:rtl w:val="0"/>
        </w:rPr>
        <w:t xml:space="preserve">6. Bezpieczeństwo Skrzynek B2B (E-mail API via OAuth2)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Decyzja:</w:t>
      </w:r>
      <w:r w:rsidDel="00000000" w:rsidR="00000000" w:rsidRPr="00000000">
        <w:rPr>
          <w:rtl w:val="0"/>
        </w:rPr>
        <w:t xml:space="preserve"> Rezygnacja z integracji AWS SES na rzecz dynamicznych tokenów OAuth2 (Microsoft Graph API / Google Workspace API). </w:t>
      </w:r>
      <w:r w:rsidDel="00000000" w:rsidR="00000000" w:rsidRPr="00000000">
        <w:rPr>
          <w:b w:val="1"/>
          <w:bCs w:val="1"/>
          <w:rtl w:val="0"/>
        </w:rPr>
        <w:t xml:space="preserve">Uzasadnienie i Implementacja:</w:t>
      </w:r>
      <w:r w:rsidDel="00000000" w:rsidR="00000000" w:rsidRPr="00000000">
        <w:rPr>
          <w:rtl w:val="0"/>
        </w:rPr>
        <w:t xml:space="preserve"> Aby Zewnętrzny Doradca mógł wysyłać maile autoryzacyjne w imieniu swoich klientów z różnych domen (bez wpadania do SPAMu i bez konfigurowania setek rekordów DNS/DKIM w naszym systemie), API NoFiCo operuje wyłącznie jako klient OAuth2.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Zamiast endpointu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/send-email</w:t>
      </w:r>
      <w:r w:rsidDel="00000000" w:rsidR="00000000" w:rsidRPr="00000000">
        <w:rPr>
          <w:rtl w:val="0"/>
        </w:rPr>
        <w:t xml:space="preserve">, API przechowuje zautoryzowane Tokeny Odświeżania (Refresh Tokens) dla skrzynki użytkownika danej firmy.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"dziedziczy" wiarygodność domeny klienta, strzelając bezpośrednio po API dostawcy poczty klienta (Azure Communication / MS Graph).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