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art-b-analytical-report"/>
    <w:p>
      <w:pPr>
        <w:pStyle w:val="Heading1"/>
      </w:pPr>
      <w:r>
        <w:t xml:space="preserve">Part B: Analytical Report</w:t>
      </w:r>
    </w:p>
    <w:bookmarkStart w:id="20" w:name="section-1-the-clinical-problem"/>
    <w:p>
      <w:pPr>
        <w:pStyle w:val="Heading2"/>
      </w:pPr>
      <w:r>
        <w:t xml:space="preserve">Section 1: The Clinical Problem</w:t>
      </w:r>
    </w:p>
    <w:p>
      <w:pPr>
        <w:pStyle w:val="FirstParagraph"/>
      </w:pPr>
      <w:r>
        <w:t xml:space="preserve">Patient deterioration prediction is fundamentally different from a standard machine learning classification task because the consequences of prediction errors directly affect patient safety and survival. In traditional classification problems such as spam detection or product recommendation, incorrect predictions may cause inconvenience but rarely result in severe harm. In contrast, an incorrect prediction in a healthcare environment may delay critical intervention, potentially leading to organ failure, prolonged ICU admission, or death. Furthermore, patient deterioration is influenced by complex physiological interactions, evolving medical conditions, medication effects, and clinician observations, making the prediction problem highly dynamic and uncertain.</w:t>
      </w:r>
    </w:p>
    <w:p>
      <w:pPr>
        <w:pStyle w:val="BodyText"/>
      </w:pPr>
      <w:r>
        <w:t xml:space="preserve">Tabular vital-sign data provides valuable numerical information such as heart rate, blood pressure, oxygen saturation, laboratory values, and demographic characteristics. However, numerical values alone do not fully represent the clinical context of a patient. Physicians often document important observations in unstructured clinical notes, including symptoms, treatment responses, suspected diagnoses, and behavioral changes. For example, two patients may have identical blood pressure measurements, but one physician note may indicate</w:t>
      </w:r>
      <w:r>
        <w:t xml:space="preserve"> </w:t>
      </w:r>
      <w:r>
        <w:t xml:space="preserve">“progressive respiratory distress”</w:t>
      </w:r>
      <w:r>
        <w:t xml:space="preserve"> </w:t>
      </w:r>
      <w:r>
        <w:t xml:space="preserve">while another states</w:t>
      </w:r>
      <w:r>
        <w:t xml:space="preserve"> </w:t>
      </w:r>
      <w:r>
        <w:t xml:space="preserve">“stable and improving.”</w:t>
      </w:r>
      <w:r>
        <w:t xml:space="preserve"> </w:t>
      </w:r>
      <w:r>
        <w:t xml:space="preserve">These textual observations contain information that numerical measurements cannot capture. Therefore, combining structured data with clinical text can significantly improve predictive performance.</w:t>
      </w:r>
    </w:p>
    <w:p>
      <w:pPr>
        <w:pStyle w:val="BodyText"/>
      </w:pPr>
      <w:r>
        <w:t xml:space="preserve">In this application, Recall is considerably more important than Accuracy. Accuracy measures overall correctness, whereas Recall measures the proportion of actual deteriorating patients correctly identified by the system. Consider a hypothetical ICU containing 100 patients, where only 10 are at risk of death. A model that predicts all patients as safe would achieve 90% accuracy but would fail to identify any high-risk patient. Such a model would be clinically useless. Suppose Patient A develops early signs of septic shock. If the model incorrectly classifies the patient as low risk, medical intervention may be delayed until the condition becomes irreversible. This false negative error could directly contribute to mortality. Conversely, a false positive may simply trigger additional monitoring by clinicians. Therefore, maximizing Recall is critical because missing a deteriorating patient is significantly more dangerous than generating an unnecessary alert.</w:t>
      </w:r>
    </w:p>
    <w:p>
      <w:r>
        <w:pict>
          <v:rect style="width:0;height:1.5pt" o:hralign="center" o:hrstd="t" o:hr="t"/>
        </w:pict>
      </w:r>
    </w:p>
    <w:bookmarkEnd w:id="20"/>
    <w:bookmarkStart w:id="21" w:name="section-2-baseline-design-decisions"/>
    <w:p>
      <w:pPr>
        <w:pStyle w:val="Heading2"/>
      </w:pPr>
      <w:r>
        <w:t xml:space="preserve">Section 2: Baseline Design Decisions</w:t>
      </w:r>
    </w:p>
    <w:p>
      <w:pPr>
        <w:pStyle w:val="FirstParagraph"/>
      </w:pPr>
      <w:r>
        <w:t xml:space="preserve">One of the primary challenges in training deep neural networks is the vanishing gradient problem. During backpropagation, gradients are propagated backward through multiple layers. As these gradients pass through many transformations, their magnitudes can become extremely small, preventing early layers from learning effectively. Consequently, the network struggles to update important weights and training may stagnate.</w:t>
      </w:r>
    </w:p>
    <w:p>
      <w:pPr>
        <w:pStyle w:val="BodyText"/>
      </w:pPr>
      <w:r>
        <w:t xml:space="preserve">The use of the ReLU activation function helps mitigate this problem because its derivative remains constant for positive values, allowing gradients to flow more effectively than traditional sigmoid or tanh activations. Batch Normalization further addresses this challenge by normalizing intermediate layer activations during training. This stabilization reduces internal covariate shift, accelerates convergence, and improves gradient flow throughout the network.</w:t>
      </w:r>
    </w:p>
    <w:p>
      <w:pPr>
        <w:pStyle w:val="BodyText"/>
      </w:pPr>
      <w:r>
        <w:t xml:space="preserve">Two optimizers were evaluated: Adam and Stochastic Gradient Descent (SGD). SGD updates parameters using a fixed learning rate and follows the gradient direction directly. Although computationally simple, SGD often converges slowly and may become trapped in local minima. Adam combines momentum and adaptive learning rate adjustment, allowing each parameter to receive individualized updates based on historical gradients. In experimental observations, Adam typically achieved faster convergence and lower validation loss compared to SGD, making it more suitable for healthcare prediction tasks where efficient learning is essential.</w:t>
      </w:r>
    </w:p>
    <w:p>
      <w:pPr>
        <w:pStyle w:val="BodyText"/>
      </w:pPr>
      <w:r>
        <w:t xml:space="preserve">A distinction must be made between loss functions and cost functions. A loss function quantifies the prediction error for a single training example. Binary Cross-Entropy, for example, measures the discrepancy between predicted and actual labels for one patient. A cost function aggregates losses across an entire dataset or mini-batch, producing a global objective that the optimization algorithm attempts to minimize.</w:t>
      </w:r>
    </w:p>
    <w:p>
      <w:pPr>
        <w:pStyle w:val="BodyText"/>
      </w:pPr>
      <w:r>
        <w:t xml:space="preserve">Dropout was introduced as a regularization technique to reduce overfitting. During training, a percentage of neurons are randomly deactivated in each iteration. This prevents individual neurons from becoming overly dependent on specific features and encourages the network to learn more robust representations. Although excessive dropout may slightly reduce training accuracy, it often improves generalization performance on unseen patient data.</w:t>
      </w:r>
    </w:p>
    <w:p>
      <w:r>
        <w:pict>
          <v:rect style="width:0;height:1.5pt" o:hralign="center" o:hrstd="t" o:hr="t"/>
        </w:pict>
      </w:r>
    </w:p>
    <w:bookmarkEnd w:id="21"/>
    <w:bookmarkStart w:id="22" w:name="section-3-modelling-patient-timelines"/>
    <w:p>
      <w:pPr>
        <w:pStyle w:val="Heading2"/>
      </w:pPr>
      <w:r>
        <w:t xml:space="preserve">Section 3: Modelling Patient Timelines</w:t>
      </w:r>
    </w:p>
    <w:p>
      <w:pPr>
        <w:pStyle w:val="FirstParagraph"/>
      </w:pPr>
      <w:r>
        <w:t xml:space="preserve">Recurrent Neural Networks (RNNs) are designed to model sequential data by maintaining hidden states across time steps. However, RNNs suffer from a more severe form of the vanishing gradient problem because gradients must propagate through both network depth and temporal sequences. As the sequence length increases, information from earlier time steps gradually disappears, limiting the network’s ability to learn long-term dependencies.</w:t>
      </w:r>
    </w:p>
    <w:p>
      <w:pPr>
        <w:pStyle w:val="BodyText"/>
      </w:pPr>
      <w:r>
        <w:t xml:space="preserve">Long Short-Term Memory (LSTM) networks were developed specifically to address this limitation. LSTMs introduce a memory cell and three gating mechanisms: the input gate, forget gate, and output gate. The forget gate determines which information should be discarded, the input gate controls what new information enters memory, and the output gate decides which information is exposed to the next layer. These mechanisms allow gradients to propagate more effectively across long sequences, enabling the model to retain clinically relevant historical information.</w:t>
      </w:r>
    </w:p>
    <w:p>
      <w:pPr>
        <w:pStyle w:val="BodyText"/>
      </w:pPr>
      <w:r>
        <w:t xml:space="preserve">Gated Recurrent Units (GRUs) simplify the LSTM architecture by combining multiple gates into update and reset gates. This simplification reduces computational complexity and training time. However, GRUs sacrifice some representational flexibility because they maintain fewer internal states. In a clinical monitoring context, GRUs provide faster inference and lower resource consumption, while LSTMs may capture more nuanced temporal dependencies.</w:t>
      </w:r>
    </w:p>
    <w:p>
      <w:pPr>
        <w:pStyle w:val="BodyText"/>
      </w:pPr>
      <w:r>
        <w:t xml:space="preserve">Bidirectional LSTMs process sequences in both forward and backward directions. While this often improves predictive accuracy in offline evaluation, it is unsuitable for real-time early warning systems. A live ICU monitoring system can only access information available up to the current moment and cannot observe future patient measurements. Bidirectional architectures effectively rely on future information during prediction, creating unrealistic assumptions for deployment. Therefore, despite potentially higher offline performance, a unidirectional LSTM is more appropriate for real-time patient deterioration monitoring.</w:t>
      </w:r>
    </w:p>
    <w:p>
      <w:r>
        <w:pict>
          <v:rect style="width:0;height:1.5pt" o:hralign="center" o:hrstd="t" o:hr="t"/>
        </w:pict>
      </w:r>
    </w:p>
    <w:bookmarkEnd w:id="22"/>
    <w:bookmarkStart w:id="23" w:name="X5c859c40d1d19d2d9e53422d20b73ccf776bfe6"/>
    <w:p>
      <w:pPr>
        <w:pStyle w:val="Heading2"/>
      </w:pPr>
      <w:r>
        <w:t xml:space="preserve">Section 4: The Transformer and Clinical Language</w:t>
      </w:r>
    </w:p>
    <w:p>
      <w:pPr>
        <w:pStyle w:val="FirstParagraph"/>
      </w:pPr>
      <w:r>
        <w:t xml:space="preserve">Pre-trained language models have transformed natural language processing through transfer learning. Transfer learning refers to leveraging knowledge acquired during large-scale pre-training and adapting it to a specific downstream task. ClinicalBERT is pre-trained on biomedical literature and clinical notes, allowing it to learn medical terminology, disease relationships, treatment concepts, and clinical writing patterns. A model trained from scratch on a small hospital dataset would lack sufficient data to learn these complex linguistic structures effectively.</w:t>
      </w:r>
    </w:p>
    <w:p>
      <w:pPr>
        <w:pStyle w:val="BodyText"/>
      </w:pPr>
      <w:r>
        <w:t xml:space="preserve">The primary advantage of transformers lies in the self-attention mechanism. Unlike recurrent models that process words sequentially, transformers examine relationships among all words simultaneously. This behavior resembles how clinicians review medical notes. Rather than reading every word with equal importance, physicians focus on clinically significant terms such as</w:t>
      </w:r>
      <w:r>
        <w:t xml:space="preserve"> </w:t>
      </w:r>
      <w:r>
        <w:t xml:space="preserve">“sepsis,”</w:t>
      </w:r>
      <w:r>
        <w:t xml:space="preserve"> </w:t>
      </w:r>
      <w:r>
        <w:t xml:space="preserve">“hypotension,”</w:t>
      </w:r>
      <w:r>
        <w:t xml:space="preserve"> </w:t>
      </w:r>
      <w:r>
        <w:t xml:space="preserve">“acute respiratory failure,”</w:t>
      </w:r>
      <w:r>
        <w:t xml:space="preserve"> </w:t>
      </w:r>
      <w:r>
        <w:t xml:space="preserve">or</w:t>
      </w:r>
      <w:r>
        <w:t xml:space="preserve"> </w:t>
      </w:r>
      <w:r>
        <w:t xml:space="preserve">“vasopressor support.”</w:t>
      </w:r>
      <w:r>
        <w:t xml:space="preserve"> </w:t>
      </w:r>
      <w:r>
        <w:t xml:space="preserve">Self-attention enables the model to prioritize these critical signals.</w:t>
      </w:r>
    </w:p>
    <w:p>
      <w:pPr>
        <w:pStyle w:val="BodyText"/>
      </w:pPr>
      <w:r>
        <w:t xml:space="preserve">Attention heatmap analysis revealed that the model assigned greater attention weights to clinically meaningful indicators of deterioration. Terms associated with respiratory distress, hemodynamic instability, organ dysfunction, and infection consistently received stronger attention scores. These findings align with established clinical reasoning because physicians also consider such observations as warning signs. The consistency between attention patterns and medical knowledge increases confidence in the model’s internal decision-making process.</w:t>
      </w:r>
    </w:p>
    <w:p>
      <w:pPr>
        <w:pStyle w:val="BodyText"/>
      </w:pPr>
      <w:r>
        <w:t xml:space="preserve">Two fine-tuning strategies were evaluated: frozen fine-tuning and full fine-tuning. In frozen fine-tuning, the pre-trained transformer layers remain unchanged while only the classification head is trained. This approach requires fewer computational resources and reduces the risk of overfitting, making it suitable for small datasets. Full fine-tuning updates all model parameters, enabling greater adaptation to the target task. Although computationally expensive, full fine-tuning often produces superior performance when sufficient data and hardware resources are available.</w:t>
      </w:r>
    </w:p>
    <w:p>
      <w:pPr>
        <w:pStyle w:val="BodyText"/>
      </w:pPr>
      <w:r>
        <w:t xml:space="preserve">Positional encoding is another critical component of transformers. Since self-attention processes all tokens simultaneously, the model requires explicit information about word order. Positional encodings provide this information, enabling the model to distinguish between phrases such as</w:t>
      </w:r>
      <w:r>
        <w:t xml:space="preserve"> </w:t>
      </w:r>
      <w:r>
        <w:t xml:space="preserve">“no evidence of infection”</w:t>
      </w:r>
      <w:r>
        <w:t xml:space="preserve"> </w:t>
      </w:r>
      <w:r>
        <w:t xml:space="preserve">and</w:t>
      </w:r>
      <w:r>
        <w:t xml:space="preserve"> </w:t>
      </w:r>
      <w:r>
        <w:t xml:space="preserve">“evidence of infection.”</w:t>
      </w:r>
      <w:r>
        <w:t xml:space="preserve"> </w:t>
      </w:r>
      <w:r>
        <w:t xml:space="preserve">This distinction is essential in clinical documentation because word order can completely change medical meaning.</w:t>
      </w:r>
    </w:p>
    <w:p>
      <w:pPr>
        <w:pStyle w:val="BodyText"/>
      </w:pPr>
      <w:r>
        <w:t xml:space="preserve">Parallelization is a major advantage of transformer architectures. Unlike recurrent models that process tokens sequentially, transformers process entire sequences simultaneously using matrix operations. For a hospital environment handling thousands of clinical notes per hour, this capability significantly improves throughput and scalability. Faster processing enables timely risk assessment and supports large-scale deployment across multiple departments.</w:t>
      </w:r>
    </w:p>
    <w:p>
      <w:r>
        <w:pict>
          <v:rect style="width:0;height:1.5pt" o:hralign="center" o:hrstd="t" o:hr="t"/>
        </w:pict>
      </w:r>
    </w:p>
    <w:bookmarkEnd w:id="23"/>
    <w:bookmarkStart w:id="24" w:name="section-5-deployment-verdict"/>
    <w:p>
      <w:pPr>
        <w:pStyle w:val="Heading2"/>
      </w:pPr>
      <w:r>
        <w:t xml:space="preserve">Section 5: Deployment Verdict</w:t>
      </w:r>
    </w:p>
    <w:p>
      <w:pPr>
        <w:pStyle w:val="FirstParagraph"/>
      </w:pPr>
      <w:r>
        <w:t xml:space="preserve">For deployment in a real ICU environment, the most suitable solution would be a multimodal architecture combining structured patient data with ClinicalBERT-based text analysis. This approach integrates physiological measurements and clinician observations, providing a more comprehensive understanding of patient status. While simpler DNN models offer lower latency, transformer-based systems generally achieve superior predictive performance and richer contextual understanding. The recommended deployment strategy balances Recall, interpretability, computational cost, and clinical utility.</w:t>
      </w:r>
    </w:p>
    <w:p>
      <w:pPr>
        <w:pStyle w:val="BodyText"/>
      </w:pPr>
      <w:r>
        <w:t xml:space="preserve">Several ethical considerations must be addressed before deployment. Algorithmic bias may arise if training data underrepresents certain demographic groups, leading to unequal performance across populations. Patient privacy is another major concern because clinical data contains sensitive personal information requiring strict security and regulatory compliance. Accountability must also be clearly defined; AI systems should support clinical decision-making rather than replace physician judgment. Final treatment decisions must remain under human supervision.</w:t>
      </w:r>
    </w:p>
    <w:p>
      <w:pPr>
        <w:pStyle w:val="BodyText"/>
      </w:pPr>
      <w:r>
        <w:t xml:space="preserve">If the hospital later expands the system to analyze chest X-rays in addition to clinical notes, the architecture should evolve into a multimodal framework. A convolutional neural network or vision transformer would process imaging data, while ClinicalBERT would process textual information and a structured-data network would process physiological measurements. Features extracted from all modalities would then be fused within a shared prediction layer. Such a system could combine visual, textual, and numerical evidence, potentially providing more accurate and robust patient deterioration predictions.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2026-05-30T14:36:44Z</dcterms:created>
  <dcterms:modified xsi:type="dcterms:W3CDTF">2026-05-30T14:36:44Z</dcterms:modified>
</cp:coreProperties>
</file>

<file path=docProps/custom.xml><?xml version="1.0" encoding="utf-8"?>
<Properties xmlns="http://schemas.openxmlformats.org/officeDocument/2006/custom-properties" xmlns:vt="http://schemas.openxmlformats.org/officeDocument/2006/docPropsVTypes"/>
</file>