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Impact Model – Methodology &amp; Formula Explanation</w:t>
      </w:r>
    </w:p>
    <w:p>
      <w:r>
        <w:t>This document explains the structure, logic, and formulas used in the Dubai Mid-Market Hospitality Financial Impact Model. The objective of the model is to quantify how pricing optimization (ADR improvement) and distribution mix shifts (OTA reduction) impact revenue, EBITDA, and margin resilience.</w:t>
      </w:r>
    </w:p>
    <w:p>
      <w:pPr>
        <w:pStyle w:val="Heading2"/>
      </w:pPr>
      <w:r>
        <w:t>1. Model Objective</w:t>
      </w:r>
    </w:p>
    <w:p>
      <w:r>
        <w:t>The model evaluates whether margin compression in Dubai’s mid-market hospitality segment is driven by demand weakness or structural distribution and cost inefficiencies.</w:t>
      </w:r>
    </w:p>
    <w:p>
      <w:pPr>
        <w:pStyle w:val="Heading2"/>
      </w:pPr>
      <w:r>
        <w:t>2. Assumptions Sheet (Inputs)</w:t>
      </w:r>
    </w:p>
    <w:p>
      <w:r>
        <w:t>The following key assumptions drive the model:</w:t>
      </w:r>
    </w:p>
    <w:p>
      <w:pPr>
        <w:pStyle w:val="ListBullet"/>
      </w:pPr>
      <w:r>
        <w:t>Number of Rooms</w:t>
      </w:r>
    </w:p>
    <w:p>
      <w:pPr>
        <w:pStyle w:val="ListBullet"/>
      </w:pPr>
      <w:r>
        <w:t>Occupancy Rate</w:t>
      </w:r>
    </w:p>
    <w:p>
      <w:pPr>
        <w:pStyle w:val="ListBullet"/>
      </w:pPr>
      <w:r>
        <w:t>ADR (Average Daily Rate)</w:t>
      </w:r>
    </w:p>
    <w:p>
      <w:pPr>
        <w:pStyle w:val="ListBullet"/>
      </w:pPr>
      <w:r>
        <w:t>OTA Share (%)</w:t>
      </w:r>
    </w:p>
    <w:p>
      <w:pPr>
        <w:pStyle w:val="ListBullet"/>
      </w:pPr>
      <w:r>
        <w:t>OTA Commission (%)</w:t>
      </w:r>
    </w:p>
    <w:p>
      <w:pPr>
        <w:pStyle w:val="ListBullet"/>
      </w:pPr>
      <w:r>
        <w:t>Operating Cost Rate (%)</w:t>
      </w:r>
    </w:p>
    <w:p>
      <w:pPr>
        <w:pStyle w:val="ListBullet"/>
      </w:pPr>
      <w:r>
        <w:t>ADR Uplift (%)</w:t>
      </w:r>
    </w:p>
    <w:p>
      <w:pPr>
        <w:pStyle w:val="ListBullet"/>
      </w:pPr>
      <w:r>
        <w:t>OTA Reduction (percentage points)</w:t>
      </w:r>
    </w:p>
    <w:p>
      <w:pPr>
        <w:pStyle w:val="ListBullet"/>
      </w:pPr>
      <w:r>
        <w:t>Cost Efficiency (%)</w:t>
      </w:r>
    </w:p>
    <w:p>
      <w:r>
        <w:t>All subsequent calculations dynamically reference these inputs, allowing scenario-based testing.</w:t>
      </w:r>
    </w:p>
    <w:p>
      <w:pPr>
        <w:pStyle w:val="Heading2"/>
      </w:pPr>
      <w:r>
        <w:t>3. Base Case Revenue &amp; EBITDA Calculation</w:t>
      </w:r>
    </w:p>
    <w:p>
      <w:r>
        <w:t>Step-by-step logic:</w:t>
      </w:r>
    </w:p>
    <w:p>
      <w:pPr>
        <w:pStyle w:val="ListNumber"/>
      </w:pPr>
      <w:r>
        <w:t>Available Room Nights = Number of Rooms × Days per Year</w:t>
      </w:r>
    </w:p>
    <w:p>
      <w:pPr>
        <w:pStyle w:val="ListNumber"/>
      </w:pPr>
      <w:r>
        <w:t>Room Nights Sold = Available Room Nights × Occupancy Rate</w:t>
      </w:r>
    </w:p>
    <w:p>
      <w:pPr>
        <w:pStyle w:val="ListNumber"/>
      </w:pPr>
      <w:r>
        <w:t>Gross Revenue = Room Nights Sold × ADR</w:t>
      </w:r>
    </w:p>
    <w:p>
      <w:pPr>
        <w:pStyle w:val="ListNumber"/>
      </w:pPr>
      <w:r>
        <w:t>OTA Commission Cost = Gross Revenue × OTA Share × OTA Commission</w:t>
      </w:r>
    </w:p>
    <w:p>
      <w:pPr>
        <w:pStyle w:val="ListNumber"/>
      </w:pPr>
      <w:r>
        <w:t>Net Revenue = Gross Revenue − OTA Commission Cost − Other Distribution Costs</w:t>
      </w:r>
    </w:p>
    <w:p>
      <w:pPr>
        <w:pStyle w:val="ListNumber"/>
      </w:pPr>
      <w:r>
        <w:t>Operating Cost = Net Revenue × Operating Cost Rate</w:t>
      </w:r>
    </w:p>
    <w:p>
      <w:pPr>
        <w:pStyle w:val="ListNumber"/>
      </w:pPr>
      <w:r>
        <w:t>EBITDA = Net Revenue − Operating Cost</w:t>
      </w:r>
    </w:p>
    <w:p>
      <w:pPr>
        <w:pStyle w:val="ListNumber"/>
      </w:pPr>
      <w:r>
        <w:t>EBITDA Margin = EBITDA ÷ Net Revenue</w:t>
      </w:r>
    </w:p>
    <w:p>
      <w:pPr>
        <w:pStyle w:val="Heading2"/>
      </w:pPr>
      <w:r>
        <w:t>4. ADR Sensitivity Analysis</w:t>
      </w:r>
    </w:p>
    <w:p>
      <w:r>
        <w:t>This section evaluates the impact of improving pricing discipline. Scenarios tested include Base ADR, +2% ADR, and +4% ADR.</w:t>
      </w:r>
    </w:p>
    <w:p>
      <w:r>
        <w:t>Net Revenue and EBITDA are recalculated under each scenario to measure margin expansion potential from modest pricing improvements.</w:t>
      </w:r>
    </w:p>
    <w:p>
      <w:pPr>
        <w:pStyle w:val="Heading2"/>
      </w:pPr>
      <w:r>
        <w:t>5. OTA Share Shift Analysis</w:t>
      </w:r>
    </w:p>
    <w:p>
      <w:r>
        <w:t>This section evaluates the impact of reducing OTA dependency by 5 percentage points.</w:t>
      </w:r>
    </w:p>
    <w:p>
      <w:r>
        <w:t>Lower OTA share reduces commission leakage and increases retained revenue, thereby improving EBITDA margin.</w:t>
      </w:r>
    </w:p>
    <w:p>
      <w:pPr>
        <w:pStyle w:val="Heading2"/>
      </w:pPr>
      <w:r>
        <w:t>6. Scenario Analysis (Base vs Optimistic vs Risk)</w:t>
      </w:r>
    </w:p>
    <w:p>
      <w:r>
        <w:t>The model includes three strategic scenarios:</w:t>
      </w:r>
    </w:p>
    <w:p>
      <w:pPr>
        <w:pStyle w:val="ListBullet"/>
      </w:pPr>
      <w:r>
        <w:t>Base: No structural changes.</w:t>
      </w:r>
    </w:p>
    <w:p>
      <w:pPr>
        <w:pStyle w:val="ListBullet"/>
      </w:pPr>
      <w:r>
        <w:t>Optimistic: ADR +2%, OTA share reduced by 5pp, operating cost efficiency improved by 4%.</w:t>
      </w:r>
    </w:p>
    <w:p>
      <w:pPr>
        <w:pStyle w:val="ListBullet"/>
      </w:pPr>
      <w:r>
        <w:t>Risk: ADR -2%, OTA share increases, operating cost inflation applied.</w:t>
      </w:r>
    </w:p>
    <w:p>
      <w:r>
        <w:t>This scenario framework demonstrates margin resilience and the financial impact of strategic levers over a 3–5 year horizon.</w:t>
      </w:r>
    </w:p>
    <w:p>
      <w:pPr>
        <w:pStyle w:val="Heading2"/>
      </w:pPr>
      <w:r>
        <w:t>7. Strategic Insight</w:t>
      </w:r>
    </w:p>
    <w:p>
      <w:r>
        <w:t>The model demonstrates that margin compression is not primarily driven by demand weakness, but by distribution inefficiencies and pricing optimization gaps. Even modest improvements in ADR and OTA mix can restore 4–6 percentage points of EBITDA margin.</w:t>
      </w:r>
    </w:p>
    <w:p>
      <w:r>
        <w:t>This reinforces the project’s hypothesis that structural optimization — rather than volume growth alone — is key to profitability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