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57A21" w14:textId="313BBC7C" w:rsidR="0019427A" w:rsidRDefault="0019427A" w:rsidP="0019427A">
      <w:pPr>
        <w:pStyle w:val="Subtitle"/>
        <w:spacing w:line="276" w:lineRule="auto"/>
        <w:jc w:val="both"/>
        <w:rPr>
          <w:rFonts w:ascii="Times New Roman" w:hAnsi="Times New Roman" w:cs="Times New Roman"/>
          <w:b/>
          <w:bCs/>
        </w:rPr>
      </w:pPr>
      <w:r>
        <w:rPr>
          <w:rFonts w:ascii="Times New Roman" w:hAnsi="Times New Roman" w:cs="Times New Roman"/>
          <w:b/>
          <w:bCs/>
        </w:rPr>
        <w:t>Uncovering the Learning Patterns and Behavioral Trajectories in Continuous Assessment Beyond Average Performance</w:t>
      </w:r>
    </w:p>
    <w:p w14:paraId="0EDF0FB6" w14:textId="0EFE291F" w:rsidR="00CE7345" w:rsidRPr="00CE7345" w:rsidRDefault="00CE7345" w:rsidP="00CE7345">
      <w:r>
        <w:t>Mariyan J Rooban</w:t>
      </w:r>
      <w:r>
        <w:br/>
        <w:t>Department of Computer Science</w:t>
      </w:r>
      <w:r>
        <w:br/>
        <w:t>Christ (Deemed to be University)</w:t>
      </w:r>
      <w:r>
        <w:br/>
      </w:r>
      <w:r>
        <w:br/>
        <w:t>Dr. Mohana Priya T</w:t>
      </w:r>
      <w:r>
        <w:br/>
      </w:r>
      <w:r>
        <w:t>Department of Computer Science</w:t>
      </w:r>
      <w:r>
        <w:br/>
      </w:r>
      <w:r>
        <w:t>Christ (Deemed to be University)</w:t>
      </w:r>
    </w:p>
    <w:p w14:paraId="42A82400" w14:textId="77777777" w:rsidR="0019427A" w:rsidRDefault="0019427A" w:rsidP="0019427A"/>
    <w:p w14:paraId="07C56C11" w14:textId="77777777" w:rsidR="0019427A" w:rsidRPr="003D72F7" w:rsidRDefault="0019427A" w:rsidP="0019427A">
      <w:pPr>
        <w:pStyle w:val="Subtitle"/>
        <w:rPr>
          <w:rFonts w:ascii="Times New Roman" w:hAnsi="Times New Roman" w:cs="Times New Roman"/>
          <w:b/>
          <w:bCs/>
        </w:rPr>
      </w:pPr>
      <w:r w:rsidRPr="003D72F7">
        <w:rPr>
          <w:rFonts w:ascii="Times New Roman" w:hAnsi="Times New Roman" w:cs="Times New Roman"/>
          <w:b/>
          <w:bCs/>
        </w:rPr>
        <w:t>Abstract</w:t>
      </w:r>
    </w:p>
    <w:p w14:paraId="2CA31766" w14:textId="374A7D6A" w:rsidR="0019427A" w:rsidRDefault="0019427A" w:rsidP="001C2A94">
      <w:pPr>
        <w:spacing w:line="360" w:lineRule="auto"/>
        <w:jc w:val="both"/>
      </w:pPr>
      <w:r>
        <w:t xml:space="preserve">Traditional methods for evaluating the continuous assessment often rely on static collective metrics, such as average scores, which </w:t>
      </w:r>
      <w:r w:rsidR="00412733">
        <w:t>fail</w:t>
      </w:r>
      <w:r>
        <w:t xml:space="preserve"> to capture the dynamic </w:t>
      </w:r>
      <w:r w:rsidR="00412733">
        <w:t>chronological</w:t>
      </w:r>
      <w:r>
        <w:t xml:space="preserve"> </w:t>
      </w:r>
      <w:r w:rsidR="00412733">
        <w:t xml:space="preserve">behaviour of student learning. Achieving this </w:t>
      </w:r>
      <w:r w:rsidR="001C2A94">
        <w:t xml:space="preserve">necessitates, moving beyond learners as a uniform group. Although Learning Management Systems (LMS) capture rich traces of student interactions and behavior, much educational research still emphasizes average scores or aggregate relationships. </w:t>
      </w:r>
      <w:r w:rsidR="001C2A94" w:rsidRPr="001C2A94">
        <w:t xml:space="preserve">This attention can mask important differences in how students </w:t>
      </w:r>
      <w:r w:rsidR="001C2A94">
        <w:t>are involved</w:t>
      </w:r>
      <w:r w:rsidR="001C2A94" w:rsidRPr="001C2A94">
        <w:t xml:space="preserve"> with online </w:t>
      </w:r>
      <w:r w:rsidR="001C2A94">
        <w:t>continuous</w:t>
      </w:r>
      <w:r w:rsidR="001C2A94" w:rsidRPr="001C2A94">
        <w:t xml:space="preserve"> assessments and how these engagement patterns relate to </w:t>
      </w:r>
      <w:r w:rsidR="00F00BB4">
        <w:t>final</w:t>
      </w:r>
      <w:r w:rsidR="001C2A94" w:rsidRPr="001C2A94">
        <w:t xml:space="preserve"> examination performance.</w:t>
      </w:r>
    </w:p>
    <w:p w14:paraId="431BF0ED" w14:textId="38C5A02D" w:rsidR="001C2A94" w:rsidRDefault="001C2A94" w:rsidP="001C2A94">
      <w:pPr>
        <w:spacing w:line="360" w:lineRule="auto"/>
        <w:jc w:val="both"/>
      </w:pPr>
      <w:r w:rsidRPr="001C2A94">
        <w:t xml:space="preserve">This study identifies and describes distinct patterns of student engagement with </w:t>
      </w:r>
      <w:r>
        <w:t xml:space="preserve">continuous </w:t>
      </w:r>
      <w:r w:rsidRPr="001C2A94">
        <w:t xml:space="preserve">assessments and examines how these behavioral outlines and learning trajectories are connected with </w:t>
      </w:r>
      <w:r w:rsidR="00F00BB4">
        <w:t>the final</w:t>
      </w:r>
      <w:r w:rsidRPr="001C2A94">
        <w:t xml:space="preserve"> examination outcomes. Explicitly, the study explores whether students follow multiple pathways to academic success and whether different patterns of engagement call for </w:t>
      </w:r>
      <w:r w:rsidR="008A0DC5">
        <w:t>distinct</w:t>
      </w:r>
      <w:r w:rsidRPr="001C2A94">
        <w:t xml:space="preserve"> intervention strategies.</w:t>
      </w:r>
    </w:p>
    <w:p w14:paraId="7EF4C50A" w14:textId="2D1A74E5" w:rsidR="00691C6F" w:rsidRDefault="00691C6F" w:rsidP="001C2A94">
      <w:pPr>
        <w:spacing w:line="360" w:lineRule="auto"/>
        <w:jc w:val="both"/>
      </w:pPr>
      <w:r w:rsidRPr="00691C6F">
        <w:t xml:space="preserve">Engagement profiles were identified using descriptive classification (high, medium, and low engagement), while learning trajectories were categorized as improving, stable, or declining based on quiz score trends. These patterns were then examined in relation to </w:t>
      </w:r>
      <w:r w:rsidR="00F00BB4">
        <w:t>final</w:t>
      </w:r>
      <w:r w:rsidRPr="00691C6F">
        <w:t xml:space="preserve"> examination outcomes using group-based statistical comparisons.</w:t>
      </w:r>
    </w:p>
    <w:p w14:paraId="4BBF9E74" w14:textId="07823733" w:rsidR="00691C6F" w:rsidRPr="00691C6F" w:rsidRDefault="00691C6F" w:rsidP="00691C6F">
      <w:pPr>
        <w:spacing w:line="360" w:lineRule="auto"/>
        <w:jc w:val="both"/>
      </w:pPr>
      <w:r w:rsidRPr="00691C6F">
        <w:t xml:space="preserve">Student engagement with </w:t>
      </w:r>
      <w:r>
        <w:t xml:space="preserve">continuous </w:t>
      </w:r>
      <w:r w:rsidRPr="00691C6F">
        <w:t xml:space="preserve">assessments showed clear heterogeneity. Three engagement profiles were identified: high (40%), medium (32%), and low (28%) engagement. Among students completing at least six quizzes, four learning trajectories emerged: steady high performers (35%), improvers (23%), decliners (10%), and consistently struggling students (15%). Notably, 41% of students demonstrated improvement over the semester. High </w:t>
      </w:r>
      <w:r w:rsidRPr="00691C6F">
        <w:lastRenderedPageBreak/>
        <w:t>engagement was associated with higher quiz completion and performance, while trajectory analysis indicated multiple pathways to success, with improving students often achieving outcomes comparable to consistently high performers.</w:t>
      </w:r>
    </w:p>
    <w:p w14:paraId="45A424DF" w14:textId="3614C5E9" w:rsidR="00691C6F" w:rsidRPr="00691C6F" w:rsidRDefault="00691C6F" w:rsidP="00691C6F">
      <w:pPr>
        <w:spacing w:line="360" w:lineRule="auto"/>
        <w:jc w:val="both"/>
      </w:pPr>
      <w:r w:rsidRPr="00691C6F">
        <w:t xml:space="preserve">The findings demonstrate that students follow diverse engagement and performance pathways in online </w:t>
      </w:r>
      <w:r>
        <w:t xml:space="preserve">continuous </w:t>
      </w:r>
      <w:r w:rsidRPr="00691C6F">
        <w:t>assessment contexts. This diversity challenges uniform intervention models and underlines the importance of pattern-specific, personalized support strategies in adaptive learning environments.</w:t>
      </w:r>
    </w:p>
    <w:p w14:paraId="3C783385" w14:textId="77777777" w:rsidR="00BB2D22" w:rsidRDefault="00BB2D22"/>
    <w:p w14:paraId="6FF90011" w14:textId="6E8A3243" w:rsidR="001956B8" w:rsidRDefault="001956B8">
      <w:r>
        <w:t>Keywords</w:t>
      </w:r>
    </w:p>
    <w:p w14:paraId="7DE8E458" w14:textId="7F8703BE" w:rsidR="001956B8" w:rsidRDefault="001956B8">
      <w:r>
        <w:t>Learning Patterns, Continuous Assessments, Learning Analytics, Academic Progression, Student Engagement, Educational data mining</w:t>
      </w:r>
    </w:p>
    <w:sectPr w:rsidR="001956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27A"/>
    <w:rsid w:val="0019427A"/>
    <w:rsid w:val="001956B8"/>
    <w:rsid w:val="001C2A94"/>
    <w:rsid w:val="003702C8"/>
    <w:rsid w:val="00412733"/>
    <w:rsid w:val="0062520F"/>
    <w:rsid w:val="00691C6F"/>
    <w:rsid w:val="008A0DC5"/>
    <w:rsid w:val="00BB2D22"/>
    <w:rsid w:val="00BC0516"/>
    <w:rsid w:val="00BE1A02"/>
    <w:rsid w:val="00CA2BE0"/>
    <w:rsid w:val="00CE7345"/>
    <w:rsid w:val="00D55570"/>
    <w:rsid w:val="00E43B2C"/>
    <w:rsid w:val="00F00BB4"/>
    <w:rsid w:val="00F54F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27B46"/>
  <w15:chartTrackingRefBased/>
  <w15:docId w15:val="{91309570-C4AD-48F9-B4B9-651B4933A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2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42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427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427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9427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942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427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427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427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2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42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427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427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9427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942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42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42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42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4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27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27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427A"/>
    <w:pPr>
      <w:spacing w:before="160"/>
      <w:jc w:val="center"/>
    </w:pPr>
    <w:rPr>
      <w:i/>
      <w:iCs/>
      <w:color w:val="404040" w:themeColor="text1" w:themeTint="BF"/>
    </w:rPr>
  </w:style>
  <w:style w:type="character" w:customStyle="1" w:styleId="QuoteChar">
    <w:name w:val="Quote Char"/>
    <w:basedOn w:val="DefaultParagraphFont"/>
    <w:link w:val="Quote"/>
    <w:uiPriority w:val="29"/>
    <w:rsid w:val="0019427A"/>
    <w:rPr>
      <w:i/>
      <w:iCs/>
      <w:color w:val="404040" w:themeColor="text1" w:themeTint="BF"/>
    </w:rPr>
  </w:style>
  <w:style w:type="paragraph" w:styleId="ListParagraph">
    <w:name w:val="List Paragraph"/>
    <w:basedOn w:val="Normal"/>
    <w:uiPriority w:val="34"/>
    <w:qFormat/>
    <w:rsid w:val="0019427A"/>
    <w:pPr>
      <w:ind w:left="720"/>
      <w:contextualSpacing/>
    </w:pPr>
  </w:style>
  <w:style w:type="character" w:styleId="IntenseEmphasis">
    <w:name w:val="Intense Emphasis"/>
    <w:basedOn w:val="DefaultParagraphFont"/>
    <w:uiPriority w:val="21"/>
    <w:qFormat/>
    <w:rsid w:val="0019427A"/>
    <w:rPr>
      <w:i/>
      <w:iCs/>
      <w:color w:val="2F5496" w:themeColor="accent1" w:themeShade="BF"/>
    </w:rPr>
  </w:style>
  <w:style w:type="paragraph" w:styleId="IntenseQuote">
    <w:name w:val="Intense Quote"/>
    <w:basedOn w:val="Normal"/>
    <w:next w:val="Normal"/>
    <w:link w:val="IntenseQuoteChar"/>
    <w:uiPriority w:val="30"/>
    <w:qFormat/>
    <w:rsid w:val="001942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427A"/>
    <w:rPr>
      <w:i/>
      <w:iCs/>
      <w:color w:val="2F5496" w:themeColor="accent1" w:themeShade="BF"/>
    </w:rPr>
  </w:style>
  <w:style w:type="character" w:styleId="IntenseReference">
    <w:name w:val="Intense Reference"/>
    <w:basedOn w:val="DefaultParagraphFont"/>
    <w:uiPriority w:val="32"/>
    <w:qFormat/>
    <w:rsid w:val="001942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601</TotalTime>
  <Pages>2</Pages>
  <Words>415</Words>
  <Characters>2368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User1-53063079</dc:creator>
  <cp:keywords/>
  <dc:description/>
  <cp:lastModifiedBy>User1-53063079</cp:lastModifiedBy>
  <cp:revision>6</cp:revision>
  <dcterms:created xsi:type="dcterms:W3CDTF">2026-01-24T01:47:00Z</dcterms:created>
  <dcterms:modified xsi:type="dcterms:W3CDTF">2026-03-28T16:05:00Z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bca32143-0a05-4e65-a61e-6f36ed726fa3</vt:lpwstr>
  </property>
</Properties>
</file>