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120"/>
        <w:jc w:val="center"/>
      </w:pPr>
      <w:r>
        <w:rPr>
          <w:rFonts w:ascii="Arial" w:hAnsi="Arial"/>
          <w:b/>
          <w:color w:val="1F497D"/>
          <w:sz w:val="40"/>
        </w:rPr>
        <w:t>ДОВІДНИК КОМАНД ТА СИНТАКСИСУ МОВИ PARALANG (v26)</w:t>
      </w:r>
    </w:p>
    <w:p>
      <w:pPr>
        <w:spacing w:after="240"/>
        <w:jc w:val="center"/>
      </w:pPr>
      <w:r>
        <w:rPr>
          <w:rFonts w:ascii="Arial" w:hAnsi="Arial"/>
          <w:b/>
          <w:color w:val="2F5496"/>
          <w:sz w:val="32"/>
        </w:rPr>
        <w:t>PARALANG (v26) COMMANDS &amp; SYNTAX REFERENCE MANUAL</w:t>
      </w:r>
    </w:p>
    <w:p>
      <w:pPr>
        <w:spacing w:after="480"/>
        <w:jc w:val="center"/>
      </w:pPr>
      <w:r>
        <w:rPr>
          <w:rFonts w:ascii="Arial" w:hAnsi="Arial"/>
          <w:i/>
          <w:color w:val="808080"/>
          <w:sz w:val="22"/>
        </w:rPr>
        <w:t>Повне двомовне керівництво з синтаксису, вбудованих парадигм паралелізму, безпеки та квантового аналізу</w:t>
        <w:br/>
        <w:t>Complete Bilingual Guide to Syntax, Built-in Concurrency Paradigms, Safety and Quantum Analysis</w:t>
      </w:r>
    </w:p>
    <w:p>
      <w:pPr>
        <w:spacing w:after="720"/>
        <w:jc w:val="center"/>
      </w:pPr>
      <w:r>
        <w:rPr>
          <w:rFonts w:ascii="Arial" w:hAnsi="Arial"/>
          <w:b/>
          <w:color w:val="1F497D"/>
          <w:sz w:val="20"/>
        </w:rPr>
        <w:t xml:space="preserve">Розробник навчальної платформи / Developer: </w:t>
      </w:r>
      <w:r>
        <w:rPr>
          <w:rFonts w:ascii="Arial" w:hAnsi="Arial"/>
          <w:b w:val="0"/>
          <w:color w:val="282828"/>
          <w:sz w:val="20"/>
        </w:rPr>
        <w:t>PhD Юрій Олександрович Сіциліцин (Yurii O. Sitsilitsyn)</w:t>
        <w:br/>
      </w:r>
      <w:r>
        <w:rPr>
          <w:rFonts w:ascii="Arial" w:hAnsi="Arial"/>
          <w:b/>
          <w:color w:val="1F497D"/>
          <w:sz w:val="20"/>
        </w:rPr>
        <w:t xml:space="preserve">Співавтор екосистеми / Co-creator: </w:t>
      </w:r>
      <w:r>
        <w:rPr>
          <w:rFonts w:ascii="Arial" w:hAnsi="Arial"/>
          <w:b w:val="0"/>
          <w:color w:val="282828"/>
          <w:sz w:val="20"/>
        </w:rPr>
        <w:t>Gemini Notebook</w:t>
        <w:br/>
      </w:r>
      <w:r>
        <w:rPr>
          <w:rFonts w:ascii="Arial" w:hAnsi="Arial"/>
          <w:b/>
          <w:color w:val="1F497D"/>
          <w:sz w:val="20"/>
        </w:rPr>
        <w:t xml:space="preserve">Версія мови / Language Version: </w:t>
      </w:r>
      <w:r>
        <w:rPr>
          <w:rFonts w:ascii="Arial" w:hAnsi="Arial"/>
          <w:b w:val="0"/>
          <w:color w:val="282828"/>
          <w:sz w:val="20"/>
        </w:rPr>
        <w:t>v26 (Революційний реліз із квантовим мультиблоком / Quantum Multiblock Release)</w:t>
        <w:br/>
      </w:r>
      <w:r>
        <w:rPr>
          <w:rFonts w:ascii="Arial" w:hAnsi="Arial"/>
          <w:b/>
          <w:color w:val="1F497D"/>
          <w:sz w:val="20"/>
        </w:rPr>
        <w:t xml:space="preserve">Дата / Date: </w:t>
      </w:r>
      <w:r>
        <w:rPr>
          <w:rFonts w:ascii="Arial" w:hAnsi="Arial"/>
          <w:b w:val="0"/>
          <w:color w:val="282828"/>
          <w:sz w:val="20"/>
        </w:rPr>
        <w:t>Серпень 2026 (August 2026)</w:t>
      </w:r>
    </w:p>
    <w:p>
      <w:pPr>
        <w:jc w:val="center"/>
      </w:pPr>
      <w:r>
        <w:rPr>
          <w:color w:val="C8C8C8"/>
        </w:rPr>
        <w:t>⎯⎯⎯⎯⎯⎯⎯⎯⎯⎯⎯⎯⎯⎯⎯⎯⎯⎯⎯⎯⎯⎯⎯⎯⎯⎯⎯⎯⎯⎯⎯⎯⎯⎯⎯⎯⎯⎯⎯⎯⎯⎯⎯⎯⎯⎯⎯⎯⎯⎯</w:t>
      </w:r>
    </w:p>
    <w:p>
      <w:pPr>
        <w:pStyle w:val="Heading1"/>
        <w:keepNext/>
        <w:spacing w:before="360" w:after="120"/>
      </w:pPr>
      <w:r>
        <w:rPr>
          <w:rFonts w:ascii="Arial" w:hAnsi="Arial"/>
          <w:b/>
          <w:color w:val="1F497D"/>
          <w:sz w:val="32"/>
        </w:rPr>
        <w:t>ЗМІСТ ДОВІДНИКА</w:t>
      </w:r>
      <w:r>
        <w:rPr>
          <w:rFonts w:ascii="Arial" w:hAnsi="Arial"/>
          <w:color w:val="808080"/>
          <w:sz w:val="32"/>
        </w:rPr>
        <w:t xml:space="preserve"> / </w:t>
      </w:r>
      <w:r>
        <w:rPr>
          <w:rFonts w:ascii="Arial" w:hAnsi="Arial"/>
          <w:b/>
          <w:color w:val="1F497D"/>
          <w:sz w:val="32"/>
        </w:rPr>
        <w:t>TABLE OF CONTENTS</w:t>
      </w:r>
    </w:p>
    <w:p>
      <w:r>
        <w:rPr>
          <w:rFonts w:ascii="Arial" w:hAnsi="Arial"/>
          <w:i/>
          <w:color w:val="808080"/>
          <w:sz w:val="19"/>
        </w:rPr>
        <w:t>[Примітка: Зміст оновиться автоматично при відкритті файлу у програмах Microsoft Word або Google Docs.]</w:t>
        <w:br/>
        <w:t>[Note: The Table of Contents will update automatically when you open this file in Microsoft Word or Google Docs.]</w:t>
      </w:r>
    </w:p>
    <w:p>
      <w:r>
        <w:fldChar w:fldCharType="begin"/>
        <w:instrText xml:space="preserve">TOC \o "1-3" \h \z \u</w:instrText>
        <w:fldChar w:fldCharType="end"/>
      </w:r>
    </w:p>
    <w:p>
      <w:r>
        <w:br w:type="page"/>
      </w:r>
    </w:p>
    <w:p>
      <w:pPr>
        <w:pStyle w:val="Heading1"/>
        <w:keepNext/>
        <w:spacing w:before="360" w:after="120"/>
      </w:pPr>
      <w:r>
        <w:rPr>
          <w:rFonts w:ascii="Arial" w:hAnsi="Arial"/>
          <w:b/>
          <w:color w:val="1F497D"/>
          <w:sz w:val="32"/>
        </w:rPr>
        <w:t>1. ВСТУП ТА ФІЛОСОФІЯ МОВИ PARALANG (v26)</w:t>
      </w:r>
      <w:r>
        <w:rPr>
          <w:rFonts w:ascii="Arial" w:hAnsi="Arial"/>
          <w:color w:val="808080"/>
          <w:sz w:val="32"/>
        </w:rPr>
        <w:t xml:space="preserve"> / </w:t>
      </w:r>
      <w:r>
        <w:rPr>
          <w:rFonts w:ascii="Arial" w:hAnsi="Arial"/>
          <w:b/>
          <w:color w:val="1F497D"/>
          <w:sz w:val="32"/>
        </w:rPr>
        <w:t>1. INTRODUCTION &amp; LANGUAGE PHILOSOPHY</w:t>
      </w:r>
    </w:p>
    <w:p>
      <w:r>
        <w:rPr>
          <w:rFonts w:ascii="Arial" w:hAnsi="Arial"/>
          <w:sz w:val="22"/>
        </w:rPr>
        <w:t xml:space="preserve">Мова програмування </w:t>
      </w:r>
      <w:r>
        <w:rPr>
          <w:rFonts w:ascii="Arial" w:hAnsi="Arial"/>
          <w:b/>
          <w:color w:val="1F497D"/>
          <w:sz w:val="22"/>
        </w:rPr>
        <w:t>ParaLang</w:t>
      </w:r>
      <w:r>
        <w:rPr>
          <w:rFonts w:ascii="Arial" w:hAnsi="Arial"/>
          <w:sz w:val="22"/>
        </w:rPr>
        <w:t xml:space="preserve"> є інноваційною навчальною мовою, яка спеціально спроектована для того, щоб надати студентам можливість практично досліджувати складні аспекти паралельних, конкурентних та розподілених обчислень в рамках єдиного уніфікованого середовища. Замість вивчення багатьох несумісних інструментів, ParaLang пропонує нативну підтримку шести ключових парадигм індустрії.</w:t>
      </w:r>
    </w:p>
    <w:p>
      <w:pPr>
        <w:spacing w:after="240"/>
      </w:pPr>
      <w:r>
        <w:rPr>
          <w:rFonts w:ascii="Arial" w:hAnsi="Arial"/>
          <w:color w:val="595959"/>
          <w:sz w:val="21"/>
        </w:rPr>
        <w:t xml:space="preserve">The </w:t>
      </w:r>
      <w:r>
        <w:rPr>
          <w:rFonts w:ascii="Arial" w:hAnsi="Arial"/>
          <w:b/>
          <w:color w:val="2F5496"/>
          <w:sz w:val="21"/>
        </w:rPr>
        <w:t>ParaLang</w:t>
      </w:r>
      <w:r>
        <w:rPr>
          <w:rFonts w:ascii="Arial" w:hAnsi="Arial"/>
          <w:color w:val="595959"/>
          <w:sz w:val="21"/>
        </w:rPr>
        <w:t xml:space="preserve"> programming language is an innovative educational language specifically engineered to provide students with a hands-on platform to explore complex parallel, concurrent, and distributed computing concepts within a single unified environment. Instead of forcing students to master multiple incompatible toolkits, ParaLang offers native support for six core industry paradigms.</w:t>
      </w:r>
    </w:p>
    <w:p>
      <w:pPr>
        <w:spacing w:before="120" w:after="120"/>
        <w:ind w:left="720" w:right="720"/>
        <w:pBdr>
          <w:left w:val="single" w:sz="24" w:space="12" w:color="1F497D"/>
        </w:pBdr>
        <w:shd w:fill="F2F5F8"/>
      </w:pPr>
      <w:r>
        <w:rPr>
          <w:rFonts w:ascii="Arial" w:hAnsi="Arial"/>
          <w:b/>
          <w:color w:val="1F497D"/>
          <w:sz w:val="20"/>
        </w:rPr>
        <w:t xml:space="preserve">🇺🇦 UA: </w:t>
      </w:r>
      <w:r>
        <w:rPr>
          <w:rFonts w:ascii="Arial" w:hAnsi="Arial"/>
          <w:i/>
          <w:sz w:val="20"/>
        </w:rPr>
        <w:t>Нова версія v26 представляє революційне квантове хаотичне планування через мультиблок multiverse(N), що дозволяє повністю автоматизувати виявлення станів перегонів даних у паралельних обчисленнях.</w:t>
        <w:br/>
      </w:r>
      <w:r>
        <w:rPr>
          <w:rFonts w:ascii="Arial" w:hAnsi="Arial"/>
          <w:b/>
          <w:color w:val="1F497D"/>
          <w:sz w:val="20"/>
        </w:rPr>
        <w:t xml:space="preserve">🇬🇧 EN: </w:t>
      </w:r>
      <w:r>
        <w:rPr>
          <w:rFonts w:ascii="Arial" w:hAnsi="Arial"/>
          <w:i/>
          <w:sz w:val="20"/>
        </w:rPr>
        <w:t>The new v26 release introduces revolutionary quantum chaotic scheduling via the multiverse(N) multiblock, completely automating the detection of data race conditions in parallel computations.</w:t>
      </w:r>
    </w:p>
    <w:p>
      <w:pPr>
        <w:pStyle w:val="Heading1"/>
        <w:keepNext/>
        <w:spacing w:before="360" w:after="120"/>
      </w:pPr>
      <w:r>
        <w:rPr>
          <w:rFonts w:ascii="Arial" w:hAnsi="Arial"/>
          <w:b/>
          <w:color w:val="1F497D"/>
          <w:sz w:val="32"/>
        </w:rPr>
        <w:t>2. КВАНТОВИЙ МУЛЬТИБЛОК MULTIVERSE(N) (v26)</w:t>
      </w:r>
      <w:r>
        <w:rPr>
          <w:rFonts w:ascii="Arial" w:hAnsi="Arial"/>
          <w:color w:val="808080"/>
          <w:sz w:val="32"/>
        </w:rPr>
        <w:t xml:space="preserve"> / </w:t>
      </w:r>
      <w:r>
        <w:rPr>
          <w:rFonts w:ascii="Arial" w:hAnsi="Arial"/>
          <w:b/>
          <w:color w:val="1F497D"/>
          <w:sz w:val="32"/>
        </w:rPr>
        <w:t>2. THE QUANTUM MULTIVERSE MULTIBLOCK</w:t>
      </w:r>
    </w:p>
    <w:p>
      <w:r>
        <w:rPr>
          <w:rFonts w:ascii="Arial" w:hAnsi="Arial"/>
        </w:rPr>
        <w:t xml:space="preserve">Найважливішим доповненням релізу v26 є конструкція </w:t>
      </w:r>
      <w:r>
        <w:rPr>
          <w:b/>
        </w:rPr>
        <w:t xml:space="preserve">multiverse(N) </w:t>
      </w:r>
      <w:r>
        <w:rPr>
          <w:rFonts w:ascii="Arial" w:hAnsi="Arial"/>
        </w:rPr>
        <w:t>— унікальний інструмент для автоматичного аналізу та детекції нетипових умов перегонів (data races) без необхідності ручного налагодження. Багатопотокові баги часто є недетермінованими (виникають лише в 1 з 1000 запусків через поведінку планувальника ОС). Блок `multiverse(N)` розв'язує цю проблему радикально.</w:t>
      </w:r>
    </w:p>
    <w:p>
      <w:r>
        <w:rPr>
          <w:rFonts w:ascii="Arial" w:hAnsi="Arial"/>
        </w:rPr>
        <w:t xml:space="preserve">The most significant addition of the v26 release is the </w:t>
      </w:r>
      <w:r>
        <w:rPr>
          <w:b/>
        </w:rPr>
        <w:t xml:space="preserve">multiverse(N) </w:t>
      </w:r>
      <w:r>
        <w:rPr>
          <w:rFonts w:ascii="Arial" w:hAnsi="Arial"/>
          <w:color w:val="595959"/>
        </w:rPr>
        <w:t>construct—a unique tool for automated analysis and detection of non-deterministic data race conditions without manual debugging. Multi-threaded bugs are often non-deterministic (occurring in only 1 out of 1000 runs due to OS scheduling). The `multiverse(N)` block solves this problem completely.</w:t>
      </w:r>
    </w:p>
    <w:p>
      <w:pPr>
        <w:pStyle w:val="Heading2"/>
        <w:keepNext/>
        <w:spacing w:before="240" w:after="120"/>
      </w:pPr>
      <w:r>
        <w:rPr>
          <w:rFonts w:ascii="Arial" w:hAnsi="Arial"/>
          <w:b/>
          <w:color w:val="2F5496"/>
          <w:sz w:val="26"/>
        </w:rPr>
        <w:t>Як працює квантовий мультиблок / How the Quantum Multiblock Works</w:t>
      </w:r>
      <w:r>
        <w:rPr>
          <w:rFonts w:ascii="Arial" w:hAnsi="Arial"/>
          <w:color w:val="808080"/>
          <w:sz w:val="26"/>
        </w:rPr>
        <w:t xml:space="preserve"> / </w:t>
      </w:r>
      <w:r>
        <w:rPr>
          <w:rFonts w:ascii="Arial" w:hAnsi="Arial"/>
          <w:b/>
          <w:color w:val="2F5496"/>
          <w:sz w:val="26"/>
        </w:rPr>
        <w:t>Technical Details</w:t>
      </w:r>
    </w:p>
    <w:p>
      <w:r>
        <w:rPr>
          <w:rFonts w:ascii="Arial" w:hAnsi="Arial"/>
        </w:rPr>
        <w:t xml:space="preserve">Коли інтерпретатор зустрічає блок `multiverse(N)`, він запускає паралельне виконання вказаного коду в </w:t>
      </w:r>
      <w:r>
        <w:rPr>
          <w:b/>
        </w:rPr>
        <w:t xml:space="preserve">N альтернативних 'паралельних всесвітах' </w:t>
      </w:r>
      <w:r>
        <w:rPr>
          <w:rFonts w:ascii="Arial" w:hAnsi="Arial"/>
        </w:rPr>
        <w:t>одночасно. У кожному всесвіті планувальник чергує виконання інструкцій ниток абсолютно випадковим, хаотичним чином (Chaotic Scheduling). Інтерпретатор ретельно моніторить фінальний стан усіх спільних змінних. Якщо фінальні значення змінних у всесвітах відрізняються, система реєструє недетермінізм і видає детальний звіт про виявлений стан перегонів (data race) та послідовність кроків, що призвели до багу.</w:t>
      </w:r>
    </w:p>
    <w:p>
      <w:r>
        <w:rPr>
          <w:rFonts w:ascii="Arial" w:hAnsi="Arial"/>
        </w:rPr>
        <w:t xml:space="preserve">When the interpreter encounters the `multiverse(N)` block, it launches the execution of the specified code across </w:t>
      </w:r>
      <w:r>
        <w:rPr>
          <w:b/>
        </w:rPr>
        <w:t xml:space="preserve">N alternative 'parallel universes' </w:t>
      </w:r>
      <w:r>
        <w:rPr>
          <w:rFonts w:ascii="Arial" w:hAnsi="Arial"/>
          <w:color w:val="595959"/>
        </w:rPr>
        <w:t>simultaneously. In each universe, the scheduler interleaves the execution of thread instructions in an entirely random, chaotic manner (Chaotic Scheduling). The interpreter closely monitors the final state of all shared variables. If the final values differ between universes, the system reports a data race and provides a detailed step-by-step trace of the conflict.</w:t>
      </w:r>
    </w:p>
    <w:p>
      <w:pPr>
        <w:spacing w:before="120" w:after="120"/>
        <w:ind w:left="576" w:right="576"/>
        <w:pBdr>
          <w:top w:val="single" w:sz="4" w:space="6" w:color="D3D3D3"/>
          <w:left w:val="single" w:sz="4" w:space="6" w:color="D3D3D3"/>
          <w:bottom w:val="single" w:sz="4" w:space="6" w:color="D3D3D3"/>
          <w:right w:val="single" w:sz="4" w:space="6" w:color="D3D3D3"/>
        </w:pBdr>
        <w:shd w:fill="F8F9FA"/>
      </w:pPr>
      <w:r>
        <w:rPr>
          <w:rFonts w:ascii="Consolas" w:hAnsi="Consolas"/>
          <w:color w:val="282828"/>
          <w:sz w:val="19"/>
        </w:rPr>
        <w:t>// Приклад виявлення перегонів / Data Race Detection Example</w:t>
        <w:br/>
        <w:t>shared_x = 0;</w:t>
        <w:br/>
        <w:br/>
        <w:t>multiverse(5) {</w:t>
        <w:br/>
        <w:t xml:space="preserve">    spawn {</w:t>
        <w:br/>
        <w:t xml:space="preserve">        shared_x = shared_x + 1; // Потік 1 / Thread 1</w:t>
        <w:br/>
        <w:t xml:space="preserve">    }</w:t>
        <w:br/>
        <w:t xml:space="preserve">    spawn {</w:t>
        <w:br/>
        <w:t xml:space="preserve">        shared_x = shared_x + 5; // Потік 2 / Thread 2</w:t>
        <w:br/>
        <w:t xml:space="preserve">    }</w:t>
        <w:br/>
        <w:t>}</w:t>
        <w:br/>
        <w:t xml:space="preserve">// Інтерпретатор виявить, що у Всесвіті №1 shared_x = 6, </w:t>
        <w:br/>
        <w:t>// але у Всесвіті №2 shared_x = 1 (якщо перший потік затер зміни другого через перегони).</w:t>
      </w:r>
    </w:p>
    <w:p>
      <w:r>
        <w:br w:type="page"/>
      </w:r>
    </w:p>
    <w:p>
      <w:pPr>
        <w:pStyle w:val="Heading1"/>
        <w:keepNext/>
        <w:spacing w:before="360" w:after="120"/>
      </w:pPr>
      <w:r>
        <w:rPr>
          <w:rFonts w:ascii="Arial" w:hAnsi="Arial"/>
          <w:b/>
          <w:color w:val="1F497D"/>
          <w:sz w:val="32"/>
        </w:rPr>
        <w:t>3. ПОВНИЙ ДОВІДНИК КОМАНД ТА СИНТАКСИСУ ЗА ПАРАДИГМАМИ</w:t>
      </w:r>
      <w:r>
        <w:rPr>
          <w:rFonts w:ascii="Arial" w:hAnsi="Arial"/>
          <w:color w:val="808080"/>
          <w:sz w:val="32"/>
        </w:rPr>
        <w:t xml:space="preserve"> / </w:t>
      </w:r>
      <w:r>
        <w:rPr>
          <w:rFonts w:ascii="Arial" w:hAnsi="Arial"/>
          <w:b/>
          <w:color w:val="1F497D"/>
          <w:sz w:val="32"/>
        </w:rPr>
        <w:t>3. COMPLETE COMMAND &amp; SYNTAX REFERENCE BY PARADIGM</w:t>
      </w:r>
    </w:p>
    <w:p>
      <w:r>
        <w:rPr>
          <w:rFonts w:ascii="Arial" w:hAnsi="Arial"/>
        </w:rPr>
        <w:t>Нижче наведено структуровані таблиці команд для кожної підтримуваної паралельної технології. Вони є основою для виконання лабораторних робіт та проектування алгоритмів студентами.</w:t>
      </w:r>
    </w:p>
    <w:p>
      <w:pPr>
        <w:pStyle w:val="Heading2"/>
        <w:keepNext/>
        <w:spacing w:before="240" w:after="120"/>
      </w:pPr>
      <w:r>
        <w:rPr>
          <w:rFonts w:ascii="Arial" w:hAnsi="Arial"/>
          <w:b/>
          <w:color w:val="2F5496"/>
          <w:sz w:val="26"/>
        </w:rPr>
        <w:t>1. Базовий синтаксис та керуючі конструкції</w:t>
      </w:r>
      <w:r>
        <w:rPr>
          <w:rFonts w:ascii="Arial" w:hAnsi="Arial"/>
          <w:color w:val="808080"/>
          <w:sz w:val="26"/>
        </w:rPr>
        <w:t xml:space="preserve"> / </w:t>
      </w:r>
      <w:r>
        <w:rPr>
          <w:rFonts w:ascii="Arial" w:hAnsi="Arial"/>
          <w:b/>
          <w:color w:val="2F5496"/>
          <w:sz w:val="26"/>
        </w:rPr>
        <w:t>1. Base Syntax &amp; Control Flow</w:t>
      </w:r>
    </w:p>
    <w:tbl>
      <w:tblPr>
        <w:tblW w:type="auto" w:w="0"/>
        <w:jc w:val="center"/>
        <w:tblLayout w:type="fixed"/>
        <w:tblLook w:firstColumn="1" w:firstRow="1" w:lastColumn="0" w:lastRow="0" w:noHBand="0" w:noVBand="1" w:val="04A0"/>
      </w:tblPr>
      <w:tblGrid>
        <w:gridCol w:w="3120"/>
        <w:gridCol w:w="3120"/>
        <w:gridCol w:w="3120"/>
      </w:tblGrid>
      <w:tr>
        <w:tc>
          <w:tcPr>
            <w:tcW w:type="dxa" w:w="2160"/>
            <w:shd w:val="clear" w:color="auto" w:fill="1F497D"/>
            <w:tcMar>
              <w:top w:w="120" w:type="dxa"/>
              <w:bottom w:w="120" w:type="dxa"/>
              <w:left w:w="150" w:type="dxa"/>
              <w:right w:w="150" w:type="dxa"/>
            </w:tcMar>
          </w:tcPr>
          <w:p>
            <w:r>
              <w:rPr>
                <w:rFonts w:ascii="Arial" w:hAnsi="Arial"/>
                <w:b/>
                <w:color w:val="FFFFFF"/>
                <w:sz w:val="20"/>
              </w:rPr>
              <w:t>Конструкція / Команда</w:t>
            </w:r>
          </w:p>
        </w:tc>
        <w:tc>
          <w:tcPr>
            <w:tcW w:type="dxa" w:w="2880"/>
            <w:shd w:val="clear" w:color="auto" w:fill="1F497D"/>
            <w:tcMar>
              <w:top w:w="120" w:type="dxa"/>
              <w:bottom w:w="120" w:type="dxa"/>
              <w:left w:w="150" w:type="dxa"/>
              <w:right w:w="150" w:type="dxa"/>
            </w:tcMar>
          </w:tcPr>
          <w:p>
            <w:r>
              <w:rPr>
                <w:rFonts w:ascii="Arial" w:hAnsi="Arial"/>
                <w:b/>
                <w:color w:val="FFFFFF"/>
                <w:sz w:val="20"/>
              </w:rPr>
              <w:t>Приклад у ParaLang</w:t>
            </w:r>
          </w:p>
        </w:tc>
        <w:tc>
          <w:tcPr>
            <w:tcW w:type="dxa" w:w="4320"/>
            <w:shd w:val="clear" w:color="auto" w:fill="1F497D"/>
            <w:tcMar>
              <w:top w:w="120" w:type="dxa"/>
              <w:bottom w:w="120" w:type="dxa"/>
              <w:left w:w="150" w:type="dxa"/>
              <w:right w:w="150" w:type="dxa"/>
            </w:tcMar>
          </w:tcPr>
          <w:p>
            <w:r>
              <w:rPr>
                <w:rFonts w:ascii="Arial" w:hAnsi="Arial"/>
                <w:b/>
                <w:color w:val="FFFFFF"/>
                <w:sz w:val="20"/>
              </w:rPr>
              <w:t>Опис дії (Bilingual Description)</w:t>
            </w:r>
          </w:p>
        </w:tc>
      </w:tr>
      <w:tr>
        <w:tc>
          <w:tcPr>
            <w:tcW w:type="dxa" w:w="2160"/>
            <w:shd w:val="clear" w:color="auto" w:fill="FFFFFF"/>
            <w:tcMar>
              <w:top w:w="100" w:type="dxa"/>
              <w:bottom w:w="100" w:type="dxa"/>
              <w:left w:w="150" w:type="dxa"/>
              <w:right w:w="150" w:type="dxa"/>
            </w:tcMar>
          </w:tcPr>
          <w:p>
            <w:pPr>
              <w:spacing w:before="60" w:after="60"/>
            </w:pPr>
            <w:r>
              <w:rPr>
                <w:rFonts w:ascii="Arial" w:hAnsi="Arial"/>
                <w:color w:val="323232"/>
                <w:sz w:val="19"/>
              </w:rPr>
              <w:t>Змінні та числа</w:t>
              <w:br/>
              <w:t>Variables &amp; Numbers</w:t>
            </w:r>
          </w:p>
        </w:tc>
        <w:tc>
          <w:tcPr>
            <w:tcW w:type="dxa" w:w="2880"/>
            <w:shd w:val="clear" w:color="auto" w:fill="FFFFFF"/>
            <w:tcMar>
              <w:top w:w="100" w:type="dxa"/>
              <w:bottom w:w="100" w:type="dxa"/>
              <w:left w:w="150" w:type="dxa"/>
              <w:right w:w="150" w:type="dxa"/>
            </w:tcMar>
          </w:tcPr>
          <w:p>
            <w:pPr>
              <w:spacing w:before="60" w:after="60"/>
            </w:pPr>
            <w:r>
              <w:rPr>
                <w:rFonts w:ascii="Consolas" w:hAnsi="Consolas"/>
                <w:color w:val="282828"/>
                <w:sz w:val="18"/>
              </w:rPr>
              <w:t>x = 42;</w:t>
              <w:br/>
              <w:t>y = 0.75;</w:t>
              <w:br/>
              <w:t>z = .1;</w:t>
            </w:r>
          </w:p>
        </w:tc>
        <w:tc>
          <w:tcPr>
            <w:tcW w:type="dxa" w:w="4320"/>
            <w:shd w:val="clear" w:color="auto" w:fill="FFFFFF"/>
            <w:tcMar>
              <w:top w:w="100" w:type="dxa"/>
              <w:bottom w:w="100" w:type="dxa"/>
              <w:left w:w="150" w:type="dxa"/>
              <w:right w:w="150" w:type="dxa"/>
            </w:tcMar>
          </w:tcPr>
          <w:p>
            <w:pPr>
              <w:spacing w:before="60" w:after="60"/>
            </w:pPr>
            <w:r>
              <w:rPr>
                <w:rFonts w:ascii="Arial" w:hAnsi="Arial"/>
                <w:color w:val="323232"/>
                <w:sz w:val="19"/>
              </w:rPr>
              <w:t>Підтримка цілих, дійсних чисел (включаючи провідну крапку) та автоматичного приведення типів. / Supports integers, floats (including leading dot notation) and auto-coercion.</w:t>
            </w:r>
          </w:p>
        </w:tc>
      </w:tr>
      <w:tr>
        <w:tc>
          <w:tcPr>
            <w:tcW w:type="dxa" w:w="2160"/>
            <w:shd w:val="clear" w:color="auto" w:fill="F2F5F8"/>
            <w:tcMar>
              <w:top w:w="100" w:type="dxa"/>
              <w:bottom w:w="100" w:type="dxa"/>
              <w:left w:w="150" w:type="dxa"/>
              <w:right w:w="150" w:type="dxa"/>
            </w:tcMar>
          </w:tcPr>
          <w:p>
            <w:pPr>
              <w:spacing w:before="60" w:after="60"/>
            </w:pPr>
            <w:r>
              <w:rPr>
                <w:rFonts w:ascii="Arial" w:hAnsi="Arial"/>
                <w:color w:val="323232"/>
                <w:sz w:val="19"/>
              </w:rPr>
              <w:t>Умовні переходи</w:t>
              <w:br/>
              <w:t>Conditionals</w:t>
            </w:r>
          </w:p>
        </w:tc>
        <w:tc>
          <w:tcPr>
            <w:tcW w:type="dxa" w:w="2880"/>
            <w:shd w:val="clear" w:color="auto" w:fill="F2F5F8"/>
            <w:tcMar>
              <w:top w:w="100" w:type="dxa"/>
              <w:bottom w:w="100" w:type="dxa"/>
              <w:left w:w="150" w:type="dxa"/>
              <w:right w:w="150" w:type="dxa"/>
            </w:tcMar>
          </w:tcPr>
          <w:p>
            <w:pPr>
              <w:spacing w:before="60" w:after="60"/>
            </w:pPr>
            <w:r>
              <w:rPr>
                <w:rFonts w:ascii="Consolas" w:hAnsi="Consolas"/>
                <w:color w:val="282828"/>
                <w:sz w:val="18"/>
              </w:rPr>
              <w:t>if x &gt; 10 {</w:t>
              <w:br/>
              <w:t xml:space="preserve">    print("More");</w:t>
              <w:br/>
              <w:t>} else {</w:t>
              <w:br/>
              <w:t xml:space="preserve">    print("Less");</w:t>
              <w:br/>
              <w:t>}</w:t>
            </w:r>
          </w:p>
        </w:tc>
        <w:tc>
          <w:tcPr>
            <w:tcW w:type="dxa" w:w="4320"/>
            <w:shd w:val="clear" w:color="auto" w:fill="F2F5F8"/>
            <w:tcMar>
              <w:top w:w="100" w:type="dxa"/>
              <w:bottom w:w="100" w:type="dxa"/>
              <w:left w:w="150" w:type="dxa"/>
              <w:right w:w="150" w:type="dxa"/>
            </w:tcMar>
          </w:tcPr>
          <w:p>
            <w:pPr>
              <w:spacing w:before="60" w:after="60"/>
            </w:pPr>
            <w:r>
              <w:rPr>
                <w:rFonts w:ascii="Arial" w:hAnsi="Arial"/>
                <w:color w:val="323232"/>
                <w:sz w:val="19"/>
              </w:rPr>
              <w:t>Стандартний умовний оператор розгалуження. Гілка 'else' є необов'язковою. / Standard conditional branching. 'else' is optional.</w:t>
            </w:r>
          </w:p>
        </w:tc>
      </w:tr>
      <w:tr>
        <w:tc>
          <w:tcPr>
            <w:tcW w:type="dxa" w:w="2160"/>
            <w:shd w:val="clear" w:color="auto" w:fill="FFFFFF"/>
            <w:tcMar>
              <w:top w:w="100" w:type="dxa"/>
              <w:bottom w:w="100" w:type="dxa"/>
              <w:left w:w="150" w:type="dxa"/>
              <w:right w:w="150" w:type="dxa"/>
            </w:tcMar>
          </w:tcPr>
          <w:p>
            <w:pPr>
              <w:spacing w:before="60" w:after="60"/>
            </w:pPr>
            <w:r>
              <w:rPr>
                <w:rFonts w:ascii="Arial" w:hAnsi="Arial"/>
                <w:color w:val="323232"/>
                <w:sz w:val="19"/>
              </w:rPr>
              <w:t>Цикл while</w:t>
              <w:br/>
              <w:t>While Loop</w:t>
            </w:r>
          </w:p>
        </w:tc>
        <w:tc>
          <w:tcPr>
            <w:tcW w:type="dxa" w:w="2880"/>
            <w:shd w:val="clear" w:color="auto" w:fill="FFFFFF"/>
            <w:tcMar>
              <w:top w:w="100" w:type="dxa"/>
              <w:bottom w:w="100" w:type="dxa"/>
              <w:left w:w="150" w:type="dxa"/>
              <w:right w:w="150" w:type="dxa"/>
            </w:tcMar>
          </w:tcPr>
          <w:p>
            <w:pPr>
              <w:spacing w:before="60" w:after="60"/>
            </w:pPr>
            <w:r>
              <w:rPr>
                <w:rFonts w:ascii="Consolas" w:hAnsi="Consolas"/>
                <w:color w:val="282828"/>
                <w:sz w:val="18"/>
              </w:rPr>
              <w:t>while x &gt; 0 {</w:t>
              <w:br/>
              <w:t xml:space="preserve">    x = x - 1;</w:t>
              <w:br/>
              <w:t>}</w:t>
            </w:r>
          </w:p>
        </w:tc>
        <w:tc>
          <w:tcPr>
            <w:tcW w:type="dxa" w:w="4320"/>
            <w:shd w:val="clear" w:color="auto" w:fill="FFFFFF"/>
            <w:tcMar>
              <w:top w:w="100" w:type="dxa"/>
              <w:bottom w:w="100" w:type="dxa"/>
              <w:left w:w="150" w:type="dxa"/>
              <w:right w:w="150" w:type="dxa"/>
            </w:tcMar>
          </w:tcPr>
          <w:p>
            <w:pPr>
              <w:spacing w:before="60" w:after="60"/>
            </w:pPr>
            <w:r>
              <w:rPr>
                <w:rFonts w:ascii="Arial" w:hAnsi="Arial"/>
                <w:color w:val="323232"/>
                <w:sz w:val="19"/>
              </w:rPr>
              <w:t>Повторює блок інструкцій, доки умова істинна. Захищений від зависань планувальником. / Loops while condition is true. Monitored by the preemption scheduler.</w:t>
            </w:r>
          </w:p>
        </w:tc>
      </w:tr>
      <w:tr>
        <w:tc>
          <w:tcPr>
            <w:tcW w:type="dxa" w:w="2160"/>
            <w:shd w:val="clear" w:color="auto" w:fill="F2F5F8"/>
            <w:tcMar>
              <w:top w:w="100" w:type="dxa"/>
              <w:bottom w:w="100" w:type="dxa"/>
              <w:left w:w="150" w:type="dxa"/>
              <w:right w:w="150" w:type="dxa"/>
            </w:tcMar>
          </w:tcPr>
          <w:p>
            <w:pPr>
              <w:spacing w:before="60" w:after="60"/>
            </w:pPr>
            <w:r>
              <w:rPr>
                <w:rFonts w:ascii="Arial" w:hAnsi="Arial"/>
                <w:color w:val="323232"/>
                <w:sz w:val="19"/>
              </w:rPr>
              <w:t>Послідовний цикл for</w:t>
              <w:br/>
              <w:t>Sequential For Loop</w:t>
            </w:r>
          </w:p>
        </w:tc>
        <w:tc>
          <w:tcPr>
            <w:tcW w:type="dxa" w:w="2880"/>
            <w:shd w:val="clear" w:color="auto" w:fill="F2F5F8"/>
            <w:tcMar>
              <w:top w:w="100" w:type="dxa"/>
              <w:bottom w:w="100" w:type="dxa"/>
              <w:left w:w="150" w:type="dxa"/>
              <w:right w:w="150" w:type="dxa"/>
            </w:tcMar>
          </w:tcPr>
          <w:p>
            <w:pPr>
              <w:spacing w:before="60" w:after="60"/>
            </w:pPr>
            <w:r>
              <w:rPr>
                <w:rFonts w:ascii="Consolas" w:hAnsi="Consolas"/>
                <w:color w:val="282828"/>
                <w:sz w:val="18"/>
              </w:rPr>
              <w:t>for i = 1 to 10 {</w:t>
              <w:br/>
              <w:t xml:space="preserve">    print(i);</w:t>
              <w:br/>
              <w:t>}</w:t>
            </w:r>
          </w:p>
        </w:tc>
        <w:tc>
          <w:tcPr>
            <w:tcW w:type="dxa" w:w="4320"/>
            <w:shd w:val="clear" w:color="auto" w:fill="F2F5F8"/>
            <w:tcMar>
              <w:top w:w="100" w:type="dxa"/>
              <w:bottom w:w="100" w:type="dxa"/>
              <w:left w:w="150" w:type="dxa"/>
              <w:right w:w="150" w:type="dxa"/>
            </w:tcMar>
          </w:tcPr>
          <w:p>
            <w:pPr>
              <w:spacing w:before="60" w:after="60"/>
            </w:pPr>
            <w:r>
              <w:rPr>
                <w:rFonts w:ascii="Arial" w:hAnsi="Arial"/>
                <w:color w:val="323232"/>
                <w:sz w:val="19"/>
              </w:rPr>
              <w:t>Ітерує змінну 'i' з кроком +1 або -1 відповідно до значень. / Iterates variable 'i' with step +1 or -1 automatically.</w:t>
            </w:r>
          </w:p>
        </w:tc>
      </w:tr>
      <w:tr>
        <w:tc>
          <w:tcPr>
            <w:tcW w:type="dxa" w:w="2160"/>
            <w:shd w:val="clear" w:color="auto" w:fill="FFFFFF"/>
            <w:tcMar>
              <w:top w:w="100" w:type="dxa"/>
              <w:bottom w:w="100" w:type="dxa"/>
              <w:left w:w="150" w:type="dxa"/>
              <w:right w:w="150" w:type="dxa"/>
            </w:tcMar>
          </w:tcPr>
          <w:p>
            <w:pPr>
              <w:spacing w:before="60" w:after="60"/>
            </w:pPr>
            <w:r>
              <w:rPr>
                <w:rFonts w:ascii="Arial" w:hAnsi="Arial"/>
                <w:color w:val="323232"/>
                <w:sz w:val="19"/>
              </w:rPr>
              <w:t>Функції</w:t>
              <w:br/>
              <w:t>Functions</w:t>
            </w:r>
          </w:p>
        </w:tc>
        <w:tc>
          <w:tcPr>
            <w:tcW w:type="dxa" w:w="2880"/>
            <w:shd w:val="clear" w:color="auto" w:fill="FFFFFF"/>
            <w:tcMar>
              <w:top w:w="100" w:type="dxa"/>
              <w:bottom w:w="100" w:type="dxa"/>
              <w:left w:w="150" w:type="dxa"/>
              <w:right w:w="150" w:type="dxa"/>
            </w:tcMar>
          </w:tcPr>
          <w:p>
            <w:pPr>
              <w:spacing w:before="60" w:after="60"/>
            </w:pPr>
            <w:r>
              <w:rPr>
                <w:rFonts w:ascii="Consolas" w:hAnsi="Consolas"/>
                <w:color w:val="282828"/>
                <w:sz w:val="18"/>
              </w:rPr>
              <w:t>fn square(val) {</w:t>
              <w:br/>
              <w:t xml:space="preserve">    return val * val;</w:t>
              <w:br/>
              <w:t>}</w:t>
              <w:br/>
              <w:t>res = square(5);</w:t>
            </w:r>
          </w:p>
        </w:tc>
        <w:tc>
          <w:tcPr>
            <w:tcW w:type="dxa" w:w="4320"/>
            <w:shd w:val="clear" w:color="auto" w:fill="FFFFFF"/>
            <w:tcMar>
              <w:top w:w="100" w:type="dxa"/>
              <w:bottom w:w="100" w:type="dxa"/>
              <w:left w:w="150" w:type="dxa"/>
              <w:right w:w="150" w:type="dxa"/>
            </w:tcMar>
          </w:tcPr>
          <w:p>
            <w:pPr>
              <w:spacing w:before="60" w:after="60"/>
            </w:pPr>
            <w:r>
              <w:rPr>
                <w:rFonts w:ascii="Arial" w:hAnsi="Arial"/>
                <w:color w:val="323232"/>
                <w:sz w:val="19"/>
              </w:rPr>
              <w:t>Визначення користувацьких функцій через 'fn'. Підтримує замикання та рекурсію. / Defines functions via 'fn'. Supports closures and recursion.</w:t>
            </w:r>
          </w:p>
        </w:tc>
      </w:tr>
    </w:tbl>
    <w:p>
      <w:pPr>
        <w:spacing w:before="160"/>
      </w:pPr>
    </w:p>
    <w:p>
      <w:pPr>
        <w:pStyle w:val="Heading2"/>
        <w:keepNext/>
        <w:spacing w:before="240" w:after="120"/>
      </w:pPr>
      <w:r>
        <w:rPr>
          <w:rFonts w:ascii="Arial" w:hAnsi="Arial"/>
          <w:b/>
          <w:color w:val="2F5496"/>
          <w:sz w:val="26"/>
        </w:rPr>
        <w:t>2. Модель OpenMP (Спільна пам'ять)</w:t>
      </w:r>
      <w:r>
        <w:rPr>
          <w:rFonts w:ascii="Arial" w:hAnsi="Arial"/>
          <w:color w:val="808080"/>
          <w:sz w:val="26"/>
        </w:rPr>
        <w:t xml:space="preserve"> / </w:t>
      </w:r>
      <w:r>
        <w:rPr>
          <w:rFonts w:ascii="Arial" w:hAnsi="Arial"/>
          <w:b/>
          <w:color w:val="2F5496"/>
          <w:sz w:val="26"/>
        </w:rPr>
        <w:t>2. OpenMP Model (Shared Memory)</w:t>
      </w:r>
    </w:p>
    <w:tbl>
      <w:tblPr>
        <w:tblW w:type="auto" w:w="0"/>
        <w:jc w:val="center"/>
        <w:tblLayout w:type="fixed"/>
        <w:tblLook w:firstColumn="1" w:firstRow="1" w:lastColumn="0" w:lastRow="0" w:noHBand="0" w:noVBand="1" w:val="04A0"/>
      </w:tblPr>
      <w:tblGrid>
        <w:gridCol w:w="3120"/>
        <w:gridCol w:w="3120"/>
        <w:gridCol w:w="3120"/>
      </w:tblGrid>
      <w:tr>
        <w:tc>
          <w:tcPr>
            <w:tcW w:type="dxa" w:w="2160"/>
            <w:shd w:val="clear" w:color="auto" w:fill="1F497D"/>
            <w:tcMar>
              <w:top w:w="120" w:type="dxa"/>
              <w:bottom w:w="120" w:type="dxa"/>
              <w:left w:w="150" w:type="dxa"/>
              <w:right w:w="150" w:type="dxa"/>
            </w:tcMar>
          </w:tcPr>
          <w:p>
            <w:r>
              <w:rPr>
                <w:rFonts w:ascii="Arial" w:hAnsi="Arial"/>
                <w:b/>
                <w:color w:val="FFFFFF"/>
                <w:sz w:val="20"/>
              </w:rPr>
              <w:t>Директива / Функція</w:t>
            </w:r>
          </w:p>
        </w:tc>
        <w:tc>
          <w:tcPr>
            <w:tcW w:type="dxa" w:w="2880"/>
            <w:shd w:val="clear" w:color="auto" w:fill="1F497D"/>
            <w:tcMar>
              <w:top w:w="120" w:type="dxa"/>
              <w:bottom w:w="120" w:type="dxa"/>
              <w:left w:w="150" w:type="dxa"/>
              <w:right w:w="150" w:type="dxa"/>
            </w:tcMar>
          </w:tcPr>
          <w:p>
            <w:r>
              <w:rPr>
                <w:rFonts w:ascii="Arial" w:hAnsi="Arial"/>
                <w:b/>
                <w:color w:val="FFFFFF"/>
                <w:sz w:val="20"/>
              </w:rPr>
              <w:t>Приклад у ParaLang</w:t>
            </w:r>
          </w:p>
        </w:tc>
        <w:tc>
          <w:tcPr>
            <w:tcW w:type="dxa" w:w="4320"/>
            <w:shd w:val="clear" w:color="auto" w:fill="1F497D"/>
            <w:tcMar>
              <w:top w:w="120" w:type="dxa"/>
              <w:bottom w:w="120" w:type="dxa"/>
              <w:left w:w="150" w:type="dxa"/>
              <w:right w:w="150" w:type="dxa"/>
            </w:tcMar>
          </w:tcPr>
          <w:p>
            <w:r>
              <w:rPr>
                <w:rFonts w:ascii="Arial" w:hAnsi="Arial"/>
                <w:b/>
                <w:color w:val="FFFFFF"/>
                <w:sz w:val="20"/>
              </w:rPr>
              <w:t>Опис дії (Bilingual Description)</w:t>
            </w:r>
          </w:p>
        </w:tc>
      </w:tr>
      <w:tr>
        <w:tc>
          <w:tcPr>
            <w:tcW w:type="dxa" w:w="2160"/>
            <w:shd w:val="clear" w:color="auto" w:fill="FFFFFF"/>
            <w:tcMar>
              <w:top w:w="100" w:type="dxa"/>
              <w:bottom w:w="100" w:type="dxa"/>
              <w:left w:w="150" w:type="dxa"/>
              <w:right w:w="150" w:type="dxa"/>
            </w:tcMar>
          </w:tcPr>
          <w:p>
            <w:pPr>
              <w:spacing w:before="60" w:after="60"/>
            </w:pPr>
            <w:r>
              <w:rPr>
                <w:rFonts w:ascii="Arial" w:hAnsi="Arial"/>
                <w:color w:val="323232"/>
                <w:sz w:val="19"/>
              </w:rPr>
              <w:t>pfor</w:t>
            </w:r>
          </w:p>
        </w:tc>
        <w:tc>
          <w:tcPr>
            <w:tcW w:type="dxa" w:w="2880"/>
            <w:shd w:val="clear" w:color="auto" w:fill="FFFFFF"/>
            <w:tcMar>
              <w:top w:w="100" w:type="dxa"/>
              <w:bottom w:w="100" w:type="dxa"/>
              <w:left w:w="150" w:type="dxa"/>
              <w:right w:w="150" w:type="dxa"/>
            </w:tcMar>
          </w:tcPr>
          <w:p>
            <w:pPr>
              <w:spacing w:before="60" w:after="60"/>
            </w:pPr>
            <w:r>
              <w:rPr>
                <w:rFonts w:ascii="Consolas" w:hAnsi="Consolas"/>
                <w:color w:val="282828"/>
                <w:sz w:val="18"/>
              </w:rPr>
              <w:t>pfor i = 1 to 100 {</w:t>
              <w:br/>
              <w:t xml:space="preserve">    // паралельний крок i</w:t>
              <w:br/>
              <w:t>}</w:t>
            </w:r>
          </w:p>
        </w:tc>
        <w:tc>
          <w:tcPr>
            <w:tcW w:type="dxa" w:w="4320"/>
            <w:shd w:val="clear" w:color="auto" w:fill="FFFFFF"/>
            <w:tcMar>
              <w:top w:w="100" w:type="dxa"/>
              <w:bottom w:w="100" w:type="dxa"/>
              <w:left w:w="150" w:type="dxa"/>
              <w:right w:w="150" w:type="dxa"/>
            </w:tcMar>
          </w:tcPr>
          <w:p>
            <w:pPr>
              <w:spacing w:before="60" w:after="60"/>
            </w:pPr>
            <w:r>
              <w:rPr>
                <w:rFonts w:ascii="Arial" w:hAnsi="Arial"/>
                <w:color w:val="323232"/>
                <w:sz w:val="19"/>
              </w:rPr>
              <w:t>Запускає паралельний цикл, розділяючи ітерації між усіма доступними ядрами процесора. / Parallelizes loop iterations across available compute threads.</w:t>
            </w:r>
          </w:p>
        </w:tc>
      </w:tr>
      <w:tr>
        <w:tc>
          <w:tcPr>
            <w:tcW w:type="dxa" w:w="2160"/>
            <w:shd w:val="clear" w:color="auto" w:fill="F2F5F8"/>
            <w:tcMar>
              <w:top w:w="100" w:type="dxa"/>
              <w:bottom w:w="100" w:type="dxa"/>
              <w:left w:w="150" w:type="dxa"/>
              <w:right w:w="150" w:type="dxa"/>
            </w:tcMar>
          </w:tcPr>
          <w:p>
            <w:pPr>
              <w:spacing w:before="60" w:after="60"/>
            </w:pPr>
            <w:r>
              <w:rPr>
                <w:rFonts w:ascii="Arial" w:hAnsi="Arial"/>
                <w:color w:val="323232"/>
                <w:sz w:val="19"/>
              </w:rPr>
              <w:t>omp_atomic</w:t>
            </w:r>
          </w:p>
        </w:tc>
        <w:tc>
          <w:tcPr>
            <w:tcW w:type="dxa" w:w="2880"/>
            <w:shd w:val="clear" w:color="auto" w:fill="F2F5F8"/>
            <w:tcMar>
              <w:top w:w="100" w:type="dxa"/>
              <w:bottom w:w="100" w:type="dxa"/>
              <w:left w:w="150" w:type="dxa"/>
              <w:right w:w="150" w:type="dxa"/>
            </w:tcMar>
          </w:tcPr>
          <w:p>
            <w:pPr>
              <w:spacing w:before="60" w:after="60"/>
            </w:pPr>
            <w:r>
              <w:rPr>
                <w:rFonts w:ascii="Consolas" w:hAnsi="Consolas"/>
                <w:color w:val="282828"/>
                <w:sz w:val="18"/>
              </w:rPr>
              <w:t>omp_atomic {</w:t>
              <w:br/>
              <w:t xml:space="preserve">    counter = counter + 1;</w:t>
              <w:br/>
              <w:t>}</w:t>
            </w:r>
          </w:p>
        </w:tc>
        <w:tc>
          <w:tcPr>
            <w:tcW w:type="dxa" w:w="4320"/>
            <w:shd w:val="clear" w:color="auto" w:fill="F2F5F8"/>
            <w:tcMar>
              <w:top w:w="100" w:type="dxa"/>
              <w:bottom w:w="100" w:type="dxa"/>
              <w:left w:w="150" w:type="dxa"/>
              <w:right w:w="150" w:type="dxa"/>
            </w:tcMar>
          </w:tcPr>
          <w:p>
            <w:pPr>
              <w:spacing w:before="60" w:after="60"/>
            </w:pPr>
            <w:r>
              <w:rPr>
                <w:rFonts w:ascii="Arial" w:hAnsi="Arial"/>
                <w:color w:val="323232"/>
                <w:sz w:val="19"/>
              </w:rPr>
              <w:t>Забезпечує атомарне (неподільне) оновлення змінної. Запобігає збоям станів перегонів. / Ensures atomic variable updates to prevent data races.</w:t>
            </w:r>
          </w:p>
        </w:tc>
      </w:tr>
      <w:tr>
        <w:tc>
          <w:tcPr>
            <w:tcW w:type="dxa" w:w="2160"/>
            <w:shd w:val="clear" w:color="auto" w:fill="FFFFFF"/>
            <w:tcMar>
              <w:top w:w="100" w:type="dxa"/>
              <w:bottom w:w="100" w:type="dxa"/>
              <w:left w:w="150" w:type="dxa"/>
              <w:right w:w="150" w:type="dxa"/>
            </w:tcMar>
          </w:tcPr>
          <w:p>
            <w:pPr>
              <w:spacing w:before="60" w:after="60"/>
            </w:pPr>
            <w:r>
              <w:rPr>
                <w:rFonts w:ascii="Arial" w:hAnsi="Arial"/>
                <w:color w:val="323232"/>
                <w:sz w:val="19"/>
              </w:rPr>
              <w:t>critical</w:t>
            </w:r>
          </w:p>
        </w:tc>
        <w:tc>
          <w:tcPr>
            <w:tcW w:type="dxa" w:w="2880"/>
            <w:shd w:val="clear" w:color="auto" w:fill="FFFFFF"/>
            <w:tcMar>
              <w:top w:w="100" w:type="dxa"/>
              <w:bottom w:w="100" w:type="dxa"/>
              <w:left w:w="150" w:type="dxa"/>
              <w:right w:w="150" w:type="dxa"/>
            </w:tcMar>
          </w:tcPr>
          <w:p>
            <w:pPr>
              <w:spacing w:before="60" w:after="60"/>
            </w:pPr>
            <w:r>
              <w:rPr>
                <w:rFonts w:ascii="Consolas" w:hAnsi="Consolas"/>
                <w:color w:val="282828"/>
                <w:sz w:val="18"/>
              </w:rPr>
              <w:t>critical {</w:t>
              <w:br/>
              <w:t xml:space="preserve">    write_to_shared_log();</w:t>
              <w:br/>
              <w:t>}</w:t>
            </w:r>
          </w:p>
        </w:tc>
        <w:tc>
          <w:tcPr>
            <w:tcW w:type="dxa" w:w="4320"/>
            <w:shd w:val="clear" w:color="auto" w:fill="FFFFFF"/>
            <w:tcMar>
              <w:top w:w="100" w:type="dxa"/>
              <w:bottom w:w="100" w:type="dxa"/>
              <w:left w:w="150" w:type="dxa"/>
              <w:right w:w="150" w:type="dxa"/>
            </w:tcMar>
          </w:tcPr>
          <w:p>
            <w:pPr>
              <w:spacing w:before="60" w:after="60"/>
            </w:pPr>
            <w:r>
              <w:rPr>
                <w:rFonts w:ascii="Arial" w:hAnsi="Arial"/>
                <w:color w:val="323232"/>
                <w:sz w:val="19"/>
              </w:rPr>
              <w:t>Гарантує, що лише один потік може одночасно виконувати вказаний блок. / Restricts block execution to a single thread at any given time.</w:t>
            </w:r>
          </w:p>
        </w:tc>
      </w:tr>
      <w:tr>
        <w:tc>
          <w:tcPr>
            <w:tcW w:type="dxa" w:w="2160"/>
            <w:shd w:val="clear" w:color="auto" w:fill="F2F5F8"/>
            <w:tcMar>
              <w:top w:w="100" w:type="dxa"/>
              <w:bottom w:w="100" w:type="dxa"/>
              <w:left w:w="150" w:type="dxa"/>
              <w:right w:w="150" w:type="dxa"/>
            </w:tcMar>
          </w:tcPr>
          <w:p>
            <w:pPr>
              <w:spacing w:before="60" w:after="60"/>
            </w:pPr>
            <w:r>
              <w:rPr>
                <w:rFonts w:ascii="Arial" w:hAnsi="Arial"/>
                <w:color w:val="323232"/>
                <w:sz w:val="19"/>
              </w:rPr>
              <w:t>omp_single / omp_master</w:t>
            </w:r>
          </w:p>
        </w:tc>
        <w:tc>
          <w:tcPr>
            <w:tcW w:type="dxa" w:w="2880"/>
            <w:shd w:val="clear" w:color="auto" w:fill="F2F5F8"/>
            <w:tcMar>
              <w:top w:w="100" w:type="dxa"/>
              <w:bottom w:w="100" w:type="dxa"/>
              <w:left w:w="150" w:type="dxa"/>
              <w:right w:w="150" w:type="dxa"/>
            </w:tcMar>
          </w:tcPr>
          <w:p>
            <w:pPr>
              <w:spacing w:before="60" w:after="60"/>
            </w:pPr>
            <w:r>
              <w:rPr>
                <w:rFonts w:ascii="Consolas" w:hAnsi="Consolas"/>
                <w:color w:val="282828"/>
                <w:sz w:val="18"/>
              </w:rPr>
              <w:t>omp_single {</w:t>
              <w:br/>
              <w:t xml:space="preserve">    print("Single task");</w:t>
              <w:br/>
              <w:t>}</w:t>
            </w:r>
          </w:p>
        </w:tc>
        <w:tc>
          <w:tcPr>
            <w:tcW w:type="dxa" w:w="4320"/>
            <w:shd w:val="clear" w:color="auto" w:fill="F2F5F8"/>
            <w:tcMar>
              <w:top w:w="100" w:type="dxa"/>
              <w:bottom w:w="100" w:type="dxa"/>
              <w:left w:w="150" w:type="dxa"/>
              <w:right w:w="150" w:type="dxa"/>
            </w:tcMar>
          </w:tcPr>
          <w:p>
            <w:pPr>
              <w:spacing w:before="60" w:after="60"/>
            </w:pPr>
            <w:r>
              <w:rPr>
                <w:rFonts w:ascii="Arial" w:hAnsi="Arial"/>
                <w:color w:val="323232"/>
                <w:sz w:val="19"/>
              </w:rPr>
              <w:t>omp_single виконується першим вільним потоком. omp_master — виключно головним потоком (ранг 0). / omp_single runs once by any thread; omp_master runs only on thread 0.</w:t>
            </w:r>
          </w:p>
        </w:tc>
      </w:tr>
      <w:tr>
        <w:tc>
          <w:tcPr>
            <w:tcW w:type="dxa" w:w="2160"/>
            <w:shd w:val="clear" w:color="auto" w:fill="FFFFFF"/>
            <w:tcMar>
              <w:top w:w="100" w:type="dxa"/>
              <w:bottom w:w="100" w:type="dxa"/>
              <w:left w:w="150" w:type="dxa"/>
              <w:right w:w="150" w:type="dxa"/>
            </w:tcMar>
          </w:tcPr>
          <w:p>
            <w:pPr>
              <w:spacing w:before="60" w:after="60"/>
            </w:pPr>
            <w:r>
              <w:rPr>
                <w:rFonts w:ascii="Arial" w:hAnsi="Arial"/>
                <w:color w:val="323232"/>
                <w:sz w:val="19"/>
              </w:rPr>
              <w:t>omp_task / omp_taskwait</w:t>
            </w:r>
          </w:p>
        </w:tc>
        <w:tc>
          <w:tcPr>
            <w:tcW w:type="dxa" w:w="2880"/>
            <w:shd w:val="clear" w:color="auto" w:fill="FFFFFF"/>
            <w:tcMar>
              <w:top w:w="100" w:type="dxa"/>
              <w:bottom w:w="100" w:type="dxa"/>
              <w:left w:w="150" w:type="dxa"/>
              <w:right w:w="150" w:type="dxa"/>
            </w:tcMar>
          </w:tcPr>
          <w:p>
            <w:pPr>
              <w:spacing w:before="60" w:after="60"/>
            </w:pPr>
            <w:r>
              <w:rPr>
                <w:rFonts w:ascii="Consolas" w:hAnsi="Consolas"/>
                <w:color w:val="282828"/>
                <w:sz w:val="18"/>
              </w:rPr>
              <w:t>omp_task {</w:t>
              <w:br/>
              <w:t xml:space="preserve">    do_work();</w:t>
              <w:br/>
              <w:t>}</w:t>
              <w:br/>
              <w:t>omp_taskwait;</w:t>
            </w:r>
          </w:p>
        </w:tc>
        <w:tc>
          <w:tcPr>
            <w:tcW w:type="dxa" w:w="4320"/>
            <w:shd w:val="clear" w:color="auto" w:fill="FFFFFF"/>
            <w:tcMar>
              <w:top w:w="100" w:type="dxa"/>
              <w:bottom w:w="100" w:type="dxa"/>
              <w:left w:w="150" w:type="dxa"/>
              <w:right w:w="150" w:type="dxa"/>
            </w:tcMar>
          </w:tcPr>
          <w:p>
            <w:pPr>
              <w:spacing w:before="60" w:after="60"/>
            </w:pPr>
            <w:r>
              <w:rPr>
                <w:rFonts w:ascii="Arial" w:hAnsi="Arial"/>
                <w:color w:val="323232"/>
                <w:sz w:val="19"/>
              </w:rPr>
              <w:t>Асинхронний запуск завдання в пулі. omp_taskwait зупиняє роботу до завершення тасок. / Spawns asynchronous tasks. omp_taskwait waits for completion.</w:t>
            </w:r>
          </w:p>
        </w:tc>
      </w:tr>
      <w:tr>
        <w:tc>
          <w:tcPr>
            <w:tcW w:type="dxa" w:w="2160"/>
            <w:shd w:val="clear" w:color="auto" w:fill="F2F5F8"/>
            <w:tcMar>
              <w:top w:w="100" w:type="dxa"/>
              <w:bottom w:w="100" w:type="dxa"/>
              <w:left w:w="150" w:type="dxa"/>
              <w:right w:w="150" w:type="dxa"/>
            </w:tcMar>
          </w:tcPr>
          <w:p>
            <w:pPr>
              <w:spacing w:before="60" w:after="60"/>
            </w:pPr>
            <w:r>
              <w:rPr>
                <w:rFonts w:ascii="Arial" w:hAnsi="Arial"/>
                <w:color w:val="323232"/>
                <w:sz w:val="19"/>
              </w:rPr>
              <w:t>omp_get_thread_num()</w:t>
              <w:br/>
              <w:t>omp_get_num_threads()</w:t>
            </w:r>
          </w:p>
        </w:tc>
        <w:tc>
          <w:tcPr>
            <w:tcW w:type="dxa" w:w="2880"/>
            <w:shd w:val="clear" w:color="auto" w:fill="F2F5F8"/>
            <w:tcMar>
              <w:top w:w="100" w:type="dxa"/>
              <w:bottom w:w="100" w:type="dxa"/>
              <w:left w:w="150" w:type="dxa"/>
              <w:right w:w="150" w:type="dxa"/>
            </w:tcMar>
          </w:tcPr>
          <w:p>
            <w:pPr>
              <w:spacing w:before="60" w:after="60"/>
            </w:pPr>
            <w:r>
              <w:rPr>
                <w:rFonts w:ascii="Consolas" w:hAnsi="Consolas"/>
                <w:color w:val="282828"/>
                <w:sz w:val="18"/>
              </w:rPr>
              <w:t>tid = omp_get_thread_num();</w:t>
            </w:r>
          </w:p>
        </w:tc>
        <w:tc>
          <w:tcPr>
            <w:tcW w:type="dxa" w:w="4320"/>
            <w:shd w:val="clear" w:color="auto" w:fill="F2F5F8"/>
            <w:tcMar>
              <w:top w:w="100" w:type="dxa"/>
              <w:bottom w:w="100" w:type="dxa"/>
              <w:left w:w="150" w:type="dxa"/>
              <w:right w:w="150" w:type="dxa"/>
            </w:tcMar>
          </w:tcPr>
          <w:p>
            <w:pPr>
              <w:spacing w:before="60" w:after="60"/>
            </w:pPr>
            <w:r>
              <w:rPr>
                <w:rFonts w:ascii="Arial" w:hAnsi="Arial"/>
                <w:color w:val="323232"/>
                <w:sz w:val="19"/>
              </w:rPr>
              <w:t>Функції отримання номера поточного потоку та загальної кількості потоків відповідно. / Retrieves current thread ID and total thread count respectively.</w:t>
            </w:r>
          </w:p>
        </w:tc>
      </w:tr>
    </w:tbl>
    <w:p>
      <w:pPr>
        <w:spacing w:before="160"/>
      </w:pPr>
    </w:p>
    <w:p>
      <w:pPr>
        <w:pStyle w:val="Heading2"/>
        <w:keepNext/>
        <w:spacing w:before="240" w:after="120"/>
      </w:pPr>
      <w:r>
        <w:rPr>
          <w:rFonts w:ascii="Arial" w:hAnsi="Arial"/>
          <w:b/>
          <w:color w:val="2F5496"/>
          <w:sz w:val="26"/>
        </w:rPr>
        <w:t>3. POSIX Threads (Pthreads) &amp; Розширені Замки</w:t>
      </w:r>
      <w:r>
        <w:rPr>
          <w:rFonts w:ascii="Arial" w:hAnsi="Arial"/>
          <w:color w:val="808080"/>
          <w:sz w:val="26"/>
        </w:rPr>
        <w:t xml:space="preserve"> / </w:t>
      </w:r>
      <w:r>
        <w:rPr>
          <w:rFonts w:ascii="Arial" w:hAnsi="Arial"/>
          <w:b/>
          <w:color w:val="2F5496"/>
          <w:sz w:val="26"/>
        </w:rPr>
        <w:t>3. POSIX Threads &amp; Advanced Locks</w:t>
      </w:r>
    </w:p>
    <w:tbl>
      <w:tblPr>
        <w:tblW w:type="auto" w:w="0"/>
        <w:jc w:val="center"/>
        <w:tblLayout w:type="fixed"/>
        <w:tblLook w:firstColumn="1" w:firstRow="1" w:lastColumn="0" w:lastRow="0" w:noHBand="0" w:noVBand="1" w:val="04A0"/>
      </w:tblPr>
      <w:tblGrid>
        <w:gridCol w:w="3120"/>
        <w:gridCol w:w="3120"/>
        <w:gridCol w:w="3120"/>
      </w:tblGrid>
      <w:tr>
        <w:tc>
          <w:tcPr>
            <w:tcW w:type="dxa" w:w="2160"/>
            <w:shd w:val="clear" w:color="auto" w:fill="1F497D"/>
            <w:tcMar>
              <w:top w:w="120" w:type="dxa"/>
              <w:bottom w:w="120" w:type="dxa"/>
              <w:left w:w="150" w:type="dxa"/>
              <w:right w:w="150" w:type="dxa"/>
            </w:tcMar>
          </w:tcPr>
          <w:p>
            <w:r>
              <w:rPr>
                <w:rFonts w:ascii="Arial" w:hAnsi="Arial"/>
                <w:b/>
                <w:color w:val="FFFFFF"/>
                <w:sz w:val="20"/>
              </w:rPr>
              <w:t>Команда / Замок</w:t>
            </w:r>
          </w:p>
        </w:tc>
        <w:tc>
          <w:tcPr>
            <w:tcW w:type="dxa" w:w="2880"/>
            <w:shd w:val="clear" w:color="auto" w:fill="1F497D"/>
            <w:tcMar>
              <w:top w:w="120" w:type="dxa"/>
              <w:bottom w:w="120" w:type="dxa"/>
              <w:left w:w="150" w:type="dxa"/>
              <w:right w:w="150" w:type="dxa"/>
            </w:tcMar>
          </w:tcPr>
          <w:p>
            <w:r>
              <w:rPr>
                <w:rFonts w:ascii="Arial" w:hAnsi="Arial"/>
                <w:b/>
                <w:color w:val="FFFFFF"/>
                <w:sz w:val="20"/>
              </w:rPr>
              <w:t>Приклад у ParaLang</w:t>
            </w:r>
          </w:p>
        </w:tc>
        <w:tc>
          <w:tcPr>
            <w:tcW w:type="dxa" w:w="4320"/>
            <w:shd w:val="clear" w:color="auto" w:fill="1F497D"/>
            <w:tcMar>
              <w:top w:w="120" w:type="dxa"/>
              <w:bottom w:w="120" w:type="dxa"/>
              <w:left w:w="150" w:type="dxa"/>
              <w:right w:w="150" w:type="dxa"/>
            </w:tcMar>
          </w:tcPr>
          <w:p>
            <w:r>
              <w:rPr>
                <w:rFonts w:ascii="Arial" w:hAnsi="Arial"/>
                <w:b/>
                <w:color w:val="FFFFFF"/>
                <w:sz w:val="20"/>
              </w:rPr>
              <w:t>Опис дії (Bilingual Description)</w:t>
            </w:r>
          </w:p>
        </w:tc>
      </w:tr>
      <w:tr>
        <w:tc>
          <w:tcPr>
            <w:tcW w:type="dxa" w:w="2160"/>
            <w:shd w:val="clear" w:color="auto" w:fill="FFFFFF"/>
            <w:tcMar>
              <w:top w:w="100" w:type="dxa"/>
              <w:bottom w:w="100" w:type="dxa"/>
              <w:left w:w="150" w:type="dxa"/>
              <w:right w:w="150" w:type="dxa"/>
            </w:tcMar>
          </w:tcPr>
          <w:p>
            <w:pPr>
              <w:spacing w:before="60" w:after="60"/>
            </w:pPr>
            <w:r>
              <w:rPr>
                <w:rFonts w:ascii="Arial" w:hAnsi="Arial"/>
                <w:color w:val="323232"/>
                <w:sz w:val="19"/>
              </w:rPr>
              <w:t>pthread_create / join</w:t>
            </w:r>
          </w:p>
        </w:tc>
        <w:tc>
          <w:tcPr>
            <w:tcW w:type="dxa" w:w="2880"/>
            <w:shd w:val="clear" w:color="auto" w:fill="FFFFFF"/>
            <w:tcMar>
              <w:top w:w="100" w:type="dxa"/>
              <w:bottom w:w="100" w:type="dxa"/>
              <w:left w:w="150" w:type="dxa"/>
              <w:right w:w="150" w:type="dxa"/>
            </w:tcMar>
          </w:tcPr>
          <w:p>
            <w:pPr>
              <w:spacing w:before="60" w:after="60"/>
            </w:pPr>
            <w:r>
              <w:rPr>
                <w:rFonts w:ascii="Consolas" w:hAnsi="Consolas"/>
                <w:color w:val="282828"/>
                <w:sz w:val="18"/>
              </w:rPr>
              <w:t>t = pthread_create(f, arg);</w:t>
              <w:br/>
              <w:t>pthread_join(t);</w:t>
            </w:r>
          </w:p>
        </w:tc>
        <w:tc>
          <w:tcPr>
            <w:tcW w:type="dxa" w:w="4320"/>
            <w:shd w:val="clear" w:color="auto" w:fill="FFFFFF"/>
            <w:tcMar>
              <w:top w:w="100" w:type="dxa"/>
              <w:bottom w:w="100" w:type="dxa"/>
              <w:left w:w="150" w:type="dxa"/>
              <w:right w:w="150" w:type="dxa"/>
            </w:tcMar>
          </w:tcPr>
          <w:p>
            <w:pPr>
              <w:spacing w:before="60" w:after="60"/>
            </w:pPr>
            <w:r>
              <w:rPr>
                <w:rFonts w:ascii="Arial" w:hAnsi="Arial"/>
                <w:color w:val="323232"/>
                <w:sz w:val="19"/>
              </w:rPr>
              <w:t>Створення нового низькорівневого потоку виконання функції f та очікування його завершення. / Spawns a low-level execution thread and blocks until it finishes.</w:t>
            </w:r>
          </w:p>
        </w:tc>
      </w:tr>
      <w:tr>
        <w:tc>
          <w:tcPr>
            <w:tcW w:type="dxa" w:w="2160"/>
            <w:shd w:val="clear" w:color="auto" w:fill="F2F5F8"/>
            <w:tcMar>
              <w:top w:w="100" w:type="dxa"/>
              <w:bottom w:w="100" w:type="dxa"/>
              <w:left w:w="150" w:type="dxa"/>
              <w:right w:w="150" w:type="dxa"/>
            </w:tcMar>
          </w:tcPr>
          <w:p>
            <w:pPr>
              <w:spacing w:before="60" w:after="60"/>
            </w:pPr>
            <w:r>
              <w:rPr>
                <w:rFonts w:ascii="Arial" w:hAnsi="Arial"/>
                <w:color w:val="323232"/>
                <w:sz w:val="19"/>
              </w:rPr>
              <w:t>pthread_mutex_init / lock / unlock</w:t>
            </w:r>
          </w:p>
        </w:tc>
        <w:tc>
          <w:tcPr>
            <w:tcW w:type="dxa" w:w="2880"/>
            <w:shd w:val="clear" w:color="auto" w:fill="F2F5F8"/>
            <w:tcMar>
              <w:top w:w="100" w:type="dxa"/>
              <w:bottom w:w="100" w:type="dxa"/>
              <w:left w:w="150" w:type="dxa"/>
              <w:right w:w="150" w:type="dxa"/>
            </w:tcMar>
          </w:tcPr>
          <w:p>
            <w:pPr>
              <w:spacing w:before="60" w:after="60"/>
            </w:pPr>
            <w:r>
              <w:rPr>
                <w:rFonts w:ascii="Consolas" w:hAnsi="Consolas"/>
                <w:color w:val="282828"/>
                <w:sz w:val="18"/>
              </w:rPr>
              <w:t>m = pthread_mutex_init();</w:t>
              <w:br/>
              <w:t>pthread_mutex_lock(m);</w:t>
              <w:br/>
              <w:t>pthread_mutex_unlock(m);</w:t>
            </w:r>
          </w:p>
        </w:tc>
        <w:tc>
          <w:tcPr>
            <w:tcW w:type="dxa" w:w="4320"/>
            <w:shd w:val="clear" w:color="auto" w:fill="F2F5F8"/>
            <w:tcMar>
              <w:top w:w="100" w:type="dxa"/>
              <w:bottom w:w="100" w:type="dxa"/>
              <w:left w:w="150" w:type="dxa"/>
              <w:right w:w="150" w:type="dxa"/>
            </w:tcMar>
          </w:tcPr>
          <w:p>
            <w:pPr>
              <w:spacing w:before="60" w:after="60"/>
            </w:pPr>
            <w:r>
              <w:rPr>
                <w:rFonts w:ascii="Arial" w:hAnsi="Arial"/>
                <w:color w:val="323232"/>
                <w:sz w:val="19"/>
              </w:rPr>
              <w:t>Класичний взаємовиключний замок (м'ютекс) для захисту спільних критичних секцій. / Standard mutual exclusion lock to secure shared critical sections.</w:t>
            </w:r>
          </w:p>
        </w:tc>
      </w:tr>
      <w:tr>
        <w:tc>
          <w:tcPr>
            <w:tcW w:type="dxa" w:w="2160"/>
            <w:shd w:val="clear" w:color="auto" w:fill="FFFFFF"/>
            <w:tcMar>
              <w:top w:w="100" w:type="dxa"/>
              <w:bottom w:w="100" w:type="dxa"/>
              <w:left w:w="150" w:type="dxa"/>
              <w:right w:w="150" w:type="dxa"/>
            </w:tcMar>
          </w:tcPr>
          <w:p>
            <w:pPr>
              <w:spacing w:before="60" w:after="60"/>
            </w:pPr>
            <w:r>
              <w:rPr>
                <w:rFonts w:ascii="Arial" w:hAnsi="Arial"/>
                <w:color w:val="323232"/>
                <w:sz w:val="19"/>
              </w:rPr>
              <w:t>pthread_cond_init / wait / signal</w:t>
            </w:r>
          </w:p>
        </w:tc>
        <w:tc>
          <w:tcPr>
            <w:tcW w:type="dxa" w:w="2880"/>
            <w:shd w:val="clear" w:color="auto" w:fill="FFFFFF"/>
            <w:tcMar>
              <w:top w:w="100" w:type="dxa"/>
              <w:bottom w:w="100" w:type="dxa"/>
              <w:left w:w="150" w:type="dxa"/>
              <w:right w:w="150" w:type="dxa"/>
            </w:tcMar>
          </w:tcPr>
          <w:p>
            <w:pPr>
              <w:spacing w:before="60" w:after="60"/>
            </w:pPr>
            <w:r>
              <w:rPr>
                <w:rFonts w:ascii="Consolas" w:hAnsi="Consolas"/>
                <w:color w:val="282828"/>
                <w:sz w:val="18"/>
              </w:rPr>
              <w:t>pthread_cond_wait(c, m);</w:t>
              <w:br/>
              <w:t>pthread_cond_signal(c);</w:t>
            </w:r>
          </w:p>
        </w:tc>
        <w:tc>
          <w:tcPr>
            <w:tcW w:type="dxa" w:w="4320"/>
            <w:shd w:val="clear" w:color="auto" w:fill="FFFFFF"/>
            <w:tcMar>
              <w:top w:w="100" w:type="dxa"/>
              <w:bottom w:w="100" w:type="dxa"/>
              <w:left w:w="150" w:type="dxa"/>
              <w:right w:w="150" w:type="dxa"/>
            </w:tcMar>
          </w:tcPr>
          <w:p>
            <w:pPr>
              <w:spacing w:before="60" w:after="60"/>
            </w:pPr>
            <w:r>
              <w:rPr>
                <w:rFonts w:ascii="Arial" w:hAnsi="Arial"/>
                <w:color w:val="323232"/>
                <w:sz w:val="19"/>
              </w:rPr>
              <w:t>Умовні змінні. pthread_cond_wait відпускає м'ютекс m та засинає; signal будить один потік. / Condition variables. wait releases mutex and sleeps; signal wakes one thread.</w:t>
            </w:r>
          </w:p>
        </w:tc>
      </w:tr>
      <w:tr>
        <w:tc>
          <w:tcPr>
            <w:tcW w:type="dxa" w:w="2160"/>
            <w:shd w:val="clear" w:color="auto" w:fill="F2F5F8"/>
            <w:tcMar>
              <w:top w:w="100" w:type="dxa"/>
              <w:bottom w:w="100" w:type="dxa"/>
              <w:left w:w="150" w:type="dxa"/>
              <w:right w:w="150" w:type="dxa"/>
            </w:tcMar>
          </w:tcPr>
          <w:p>
            <w:pPr>
              <w:spacing w:before="60" w:after="60"/>
            </w:pPr>
            <w:r>
              <w:rPr>
                <w:rFonts w:ascii="Arial" w:hAnsi="Arial"/>
                <w:color w:val="323232"/>
                <w:sz w:val="19"/>
              </w:rPr>
              <w:t>Read-Write Locks</w:t>
              <w:br/>
              <w:t>(pthread_rwlock)</w:t>
            </w:r>
          </w:p>
        </w:tc>
        <w:tc>
          <w:tcPr>
            <w:tcW w:type="dxa" w:w="2880"/>
            <w:shd w:val="clear" w:color="auto" w:fill="F2F5F8"/>
            <w:tcMar>
              <w:top w:w="100" w:type="dxa"/>
              <w:bottom w:w="100" w:type="dxa"/>
              <w:left w:w="150" w:type="dxa"/>
              <w:right w:w="150" w:type="dxa"/>
            </w:tcMar>
          </w:tcPr>
          <w:p>
            <w:pPr>
              <w:spacing w:before="60" w:after="60"/>
            </w:pPr>
            <w:r>
              <w:rPr>
                <w:rFonts w:ascii="Consolas" w:hAnsi="Consolas"/>
                <w:color w:val="282828"/>
                <w:sz w:val="18"/>
              </w:rPr>
              <w:t>rw = pthread_rwlock_init();</w:t>
              <w:br/>
              <w:t>pthread_rwlock_rdlock(rw);</w:t>
              <w:br/>
              <w:t>pthread_rwlock_wrlock(rw);</w:t>
            </w:r>
          </w:p>
        </w:tc>
        <w:tc>
          <w:tcPr>
            <w:tcW w:type="dxa" w:w="4320"/>
            <w:shd w:val="clear" w:color="auto" w:fill="F2F5F8"/>
            <w:tcMar>
              <w:top w:w="100" w:type="dxa"/>
              <w:bottom w:w="100" w:type="dxa"/>
              <w:left w:w="150" w:type="dxa"/>
              <w:right w:w="150" w:type="dxa"/>
            </w:tcMar>
          </w:tcPr>
          <w:p>
            <w:pPr>
              <w:spacing w:before="60" w:after="60"/>
            </w:pPr>
            <w:r>
              <w:rPr>
                <w:rFonts w:ascii="Arial" w:hAnsi="Arial"/>
                <w:color w:val="323232"/>
                <w:sz w:val="19"/>
              </w:rPr>
              <w:t>Дозволяє паралельне читання багатьом ниткам, але блокує письменника монопольно. / Multiple concurrent readers allowed, but writers get exclusive lock.</w:t>
            </w:r>
          </w:p>
        </w:tc>
      </w:tr>
      <w:tr>
        <w:tc>
          <w:tcPr>
            <w:tcW w:type="dxa" w:w="2160"/>
            <w:shd w:val="clear" w:color="auto" w:fill="FFFFFF"/>
            <w:tcMar>
              <w:top w:w="100" w:type="dxa"/>
              <w:bottom w:w="100" w:type="dxa"/>
              <w:left w:w="150" w:type="dxa"/>
              <w:right w:w="150" w:type="dxa"/>
            </w:tcMar>
          </w:tcPr>
          <w:p>
            <w:pPr>
              <w:spacing w:before="60" w:after="60"/>
            </w:pPr>
            <w:r>
              <w:rPr>
                <w:rFonts w:ascii="Arial" w:hAnsi="Arial"/>
                <w:color w:val="323232"/>
                <w:sz w:val="19"/>
              </w:rPr>
              <w:t>Semaphores</w:t>
              <w:br/>
              <w:t>(sem_init)</w:t>
            </w:r>
          </w:p>
        </w:tc>
        <w:tc>
          <w:tcPr>
            <w:tcW w:type="dxa" w:w="2880"/>
            <w:shd w:val="clear" w:color="auto" w:fill="FFFFFF"/>
            <w:tcMar>
              <w:top w:w="100" w:type="dxa"/>
              <w:bottom w:w="100" w:type="dxa"/>
              <w:left w:w="150" w:type="dxa"/>
              <w:right w:w="150" w:type="dxa"/>
            </w:tcMar>
          </w:tcPr>
          <w:p>
            <w:pPr>
              <w:spacing w:before="60" w:after="60"/>
            </w:pPr>
            <w:r>
              <w:rPr>
                <w:rFonts w:ascii="Consolas" w:hAnsi="Consolas"/>
                <w:color w:val="282828"/>
                <w:sz w:val="18"/>
              </w:rPr>
              <w:t>sem = sem_init(limit);</w:t>
              <w:br/>
              <w:t>sem_wait(sem);</w:t>
              <w:br/>
              <w:t>sem_post(sem);</w:t>
            </w:r>
          </w:p>
        </w:tc>
        <w:tc>
          <w:tcPr>
            <w:tcW w:type="dxa" w:w="4320"/>
            <w:shd w:val="clear" w:color="auto" w:fill="FFFFFF"/>
            <w:tcMar>
              <w:top w:w="100" w:type="dxa"/>
              <w:bottom w:w="100" w:type="dxa"/>
              <w:left w:w="150" w:type="dxa"/>
              <w:right w:w="150" w:type="dxa"/>
            </w:tcMar>
          </w:tcPr>
          <w:p>
            <w:pPr>
              <w:spacing w:before="60" w:after="60"/>
            </w:pPr>
            <w:r>
              <w:rPr>
                <w:rFonts w:ascii="Arial" w:hAnsi="Arial"/>
                <w:color w:val="323232"/>
                <w:sz w:val="19"/>
              </w:rPr>
              <w:t>Лічильний семафор для обмеження кількості паралельних процесів в одній секції. / Counting semaphore to restrict concurrent access to a resource limit.</w:t>
            </w:r>
          </w:p>
        </w:tc>
      </w:tr>
      <w:tr>
        <w:tc>
          <w:tcPr>
            <w:tcW w:type="dxa" w:w="2160"/>
            <w:shd w:val="clear" w:color="auto" w:fill="F2F5F8"/>
            <w:tcMar>
              <w:top w:w="100" w:type="dxa"/>
              <w:bottom w:w="100" w:type="dxa"/>
              <w:left w:w="150" w:type="dxa"/>
              <w:right w:w="150" w:type="dxa"/>
            </w:tcMar>
          </w:tcPr>
          <w:p>
            <w:pPr>
              <w:spacing w:before="60" w:after="60"/>
            </w:pPr>
            <w:r>
              <w:rPr>
                <w:rFonts w:ascii="Arial" w:hAnsi="Arial"/>
                <w:color w:val="323232"/>
                <w:sz w:val="19"/>
              </w:rPr>
              <w:t>Spinlock</w:t>
              <w:br/>
              <w:t>(spinlock_init)</w:t>
            </w:r>
          </w:p>
        </w:tc>
        <w:tc>
          <w:tcPr>
            <w:tcW w:type="dxa" w:w="2880"/>
            <w:shd w:val="clear" w:color="auto" w:fill="F2F5F8"/>
            <w:tcMar>
              <w:top w:w="100" w:type="dxa"/>
              <w:bottom w:w="100" w:type="dxa"/>
              <w:left w:w="150" w:type="dxa"/>
              <w:right w:w="150" w:type="dxa"/>
            </w:tcMar>
          </w:tcPr>
          <w:p>
            <w:pPr>
              <w:spacing w:before="60" w:after="60"/>
            </w:pPr>
            <w:r>
              <w:rPr>
                <w:rFonts w:ascii="Consolas" w:hAnsi="Consolas"/>
                <w:color w:val="282828"/>
                <w:sz w:val="18"/>
              </w:rPr>
              <w:t>sl = spinlock_init();</w:t>
              <w:br/>
              <w:t>spinlock_lock(sl);</w:t>
              <w:br/>
              <w:t>spinlock_unlock(sl);</w:t>
            </w:r>
          </w:p>
        </w:tc>
        <w:tc>
          <w:tcPr>
            <w:tcW w:type="dxa" w:w="4320"/>
            <w:shd w:val="clear" w:color="auto" w:fill="F2F5F8"/>
            <w:tcMar>
              <w:top w:w="100" w:type="dxa"/>
              <w:bottom w:w="100" w:type="dxa"/>
              <w:left w:w="150" w:type="dxa"/>
              <w:right w:w="150" w:type="dxa"/>
            </w:tcMar>
          </w:tcPr>
          <w:p>
            <w:pPr>
              <w:spacing w:before="60" w:after="60"/>
            </w:pPr>
            <w:r>
              <w:rPr>
                <w:rFonts w:ascii="Arial" w:hAnsi="Arial"/>
                <w:color w:val="323232"/>
                <w:sz w:val="19"/>
              </w:rPr>
              <w:t>Спінлок активного очікування (busy-waiting). Корисний для надкоротких секцій. / Busy-waiting spinlock. Optimized for short, fast operations to avoid context-switch.</w:t>
            </w:r>
          </w:p>
        </w:tc>
      </w:tr>
    </w:tbl>
    <w:p>
      <w:pPr>
        <w:spacing w:before="160"/>
      </w:pPr>
    </w:p>
    <w:p>
      <w:pPr>
        <w:pStyle w:val="Heading2"/>
        <w:keepNext/>
        <w:spacing w:before="240" w:after="120"/>
      </w:pPr>
      <w:r>
        <w:rPr>
          <w:rFonts w:ascii="Arial" w:hAnsi="Arial"/>
          <w:b/>
          <w:color w:val="2F5496"/>
          <w:sz w:val="26"/>
        </w:rPr>
        <w:t>4. Транзакційна пам'ять (STM)</w:t>
      </w:r>
      <w:r>
        <w:rPr>
          <w:rFonts w:ascii="Arial" w:hAnsi="Arial"/>
          <w:color w:val="808080"/>
          <w:sz w:val="26"/>
        </w:rPr>
        <w:t xml:space="preserve"> / </w:t>
      </w:r>
      <w:r>
        <w:rPr>
          <w:rFonts w:ascii="Arial" w:hAnsi="Arial"/>
          <w:b/>
          <w:color w:val="2F5496"/>
          <w:sz w:val="26"/>
        </w:rPr>
        <w:t>4. Software Transactional Memory (STM)</w:t>
      </w:r>
    </w:p>
    <w:tbl>
      <w:tblPr>
        <w:tblW w:type="auto" w:w="0"/>
        <w:jc w:val="center"/>
        <w:tblLayout w:type="fixed"/>
        <w:tblLook w:firstColumn="1" w:firstRow="1" w:lastColumn="0" w:lastRow="0" w:noHBand="0" w:noVBand="1" w:val="04A0"/>
      </w:tblPr>
      <w:tblGrid>
        <w:gridCol w:w="3120"/>
        <w:gridCol w:w="3120"/>
        <w:gridCol w:w="3120"/>
      </w:tblGrid>
      <w:tr>
        <w:tc>
          <w:tcPr>
            <w:tcW w:type="dxa" w:w="2160"/>
            <w:shd w:val="clear" w:color="auto" w:fill="1F497D"/>
            <w:tcMar>
              <w:top w:w="120" w:type="dxa"/>
              <w:bottom w:w="120" w:type="dxa"/>
              <w:left w:w="150" w:type="dxa"/>
              <w:right w:w="150" w:type="dxa"/>
            </w:tcMar>
          </w:tcPr>
          <w:p>
            <w:r>
              <w:rPr>
                <w:rFonts w:ascii="Arial" w:hAnsi="Arial"/>
                <w:b/>
                <w:color w:val="FFFFFF"/>
                <w:sz w:val="20"/>
              </w:rPr>
              <w:t>Конструкція STM</w:t>
            </w:r>
          </w:p>
        </w:tc>
        <w:tc>
          <w:tcPr>
            <w:tcW w:type="dxa" w:w="2880"/>
            <w:shd w:val="clear" w:color="auto" w:fill="1F497D"/>
            <w:tcMar>
              <w:top w:w="120" w:type="dxa"/>
              <w:bottom w:w="120" w:type="dxa"/>
              <w:left w:w="150" w:type="dxa"/>
              <w:right w:w="150" w:type="dxa"/>
            </w:tcMar>
          </w:tcPr>
          <w:p>
            <w:r>
              <w:rPr>
                <w:rFonts w:ascii="Arial" w:hAnsi="Arial"/>
                <w:b/>
                <w:color w:val="FFFFFF"/>
                <w:sz w:val="20"/>
              </w:rPr>
              <w:t>Приклад у ParaLang</w:t>
            </w:r>
          </w:p>
        </w:tc>
        <w:tc>
          <w:tcPr>
            <w:tcW w:type="dxa" w:w="4320"/>
            <w:shd w:val="clear" w:color="auto" w:fill="1F497D"/>
            <w:tcMar>
              <w:top w:w="120" w:type="dxa"/>
              <w:bottom w:w="120" w:type="dxa"/>
              <w:left w:w="150" w:type="dxa"/>
              <w:right w:w="150" w:type="dxa"/>
            </w:tcMar>
          </w:tcPr>
          <w:p>
            <w:r>
              <w:rPr>
                <w:rFonts w:ascii="Arial" w:hAnsi="Arial"/>
                <w:b/>
                <w:color w:val="FFFFFF"/>
                <w:sz w:val="20"/>
              </w:rPr>
              <w:t>Опис дії (Bilingual Description)</w:t>
            </w:r>
          </w:p>
        </w:tc>
      </w:tr>
      <w:tr>
        <w:tc>
          <w:tcPr>
            <w:tcW w:type="dxa" w:w="2160"/>
            <w:shd w:val="clear" w:color="auto" w:fill="FFFFFF"/>
            <w:tcMar>
              <w:top w:w="100" w:type="dxa"/>
              <w:bottom w:w="100" w:type="dxa"/>
              <w:left w:w="150" w:type="dxa"/>
              <w:right w:w="150" w:type="dxa"/>
            </w:tcMar>
          </w:tcPr>
          <w:p>
            <w:pPr>
              <w:spacing w:before="60" w:after="60"/>
            </w:pPr>
            <w:r>
              <w:rPr>
                <w:rFonts w:ascii="Arial" w:hAnsi="Arial"/>
                <w:color w:val="323232"/>
                <w:sz w:val="19"/>
              </w:rPr>
              <w:t>tvar</w:t>
            </w:r>
          </w:p>
        </w:tc>
        <w:tc>
          <w:tcPr>
            <w:tcW w:type="dxa" w:w="2880"/>
            <w:shd w:val="clear" w:color="auto" w:fill="FFFFFF"/>
            <w:tcMar>
              <w:top w:w="100" w:type="dxa"/>
              <w:bottom w:w="100" w:type="dxa"/>
              <w:left w:w="150" w:type="dxa"/>
              <w:right w:w="150" w:type="dxa"/>
            </w:tcMar>
          </w:tcPr>
          <w:p>
            <w:pPr>
              <w:spacing w:before="60" w:after="60"/>
            </w:pPr>
            <w:r>
              <w:rPr>
                <w:rFonts w:ascii="Consolas" w:hAnsi="Consolas"/>
                <w:color w:val="282828"/>
                <w:sz w:val="18"/>
              </w:rPr>
              <w:t>my_tvar = tvar(100);</w:t>
            </w:r>
          </w:p>
        </w:tc>
        <w:tc>
          <w:tcPr>
            <w:tcW w:type="dxa" w:w="4320"/>
            <w:shd w:val="clear" w:color="auto" w:fill="FFFFFF"/>
            <w:tcMar>
              <w:top w:w="100" w:type="dxa"/>
              <w:bottom w:w="100" w:type="dxa"/>
              <w:left w:w="150" w:type="dxa"/>
              <w:right w:w="150" w:type="dxa"/>
            </w:tcMar>
          </w:tcPr>
          <w:p>
            <w:pPr>
              <w:spacing w:before="60" w:after="60"/>
            </w:pPr>
            <w:r>
              <w:rPr>
                <w:rFonts w:ascii="Arial" w:hAnsi="Arial"/>
                <w:color w:val="323232"/>
                <w:sz w:val="19"/>
              </w:rPr>
              <w:t>Створює спеціальний транзакційний об'єкт, захищений версіонуванням та історією. / Spawns a transactional variable monitored for concurrent conflicts.</w:t>
            </w:r>
          </w:p>
        </w:tc>
      </w:tr>
      <w:tr>
        <w:tc>
          <w:tcPr>
            <w:tcW w:type="dxa" w:w="2160"/>
            <w:shd w:val="clear" w:color="auto" w:fill="F2F5F8"/>
            <w:tcMar>
              <w:top w:w="100" w:type="dxa"/>
              <w:bottom w:w="100" w:type="dxa"/>
              <w:left w:w="150" w:type="dxa"/>
              <w:right w:w="150" w:type="dxa"/>
            </w:tcMar>
          </w:tcPr>
          <w:p>
            <w:pPr>
              <w:spacing w:before="60" w:after="60"/>
            </w:pPr>
            <w:r>
              <w:rPr>
                <w:rFonts w:ascii="Arial" w:hAnsi="Arial"/>
                <w:color w:val="323232"/>
                <w:sz w:val="19"/>
              </w:rPr>
              <w:t>read_tvar / write_tvar</w:t>
            </w:r>
          </w:p>
        </w:tc>
        <w:tc>
          <w:tcPr>
            <w:tcW w:type="dxa" w:w="2880"/>
            <w:shd w:val="clear" w:color="auto" w:fill="F2F5F8"/>
            <w:tcMar>
              <w:top w:w="100" w:type="dxa"/>
              <w:bottom w:w="100" w:type="dxa"/>
              <w:left w:w="150" w:type="dxa"/>
              <w:right w:w="150" w:type="dxa"/>
            </w:tcMar>
          </w:tcPr>
          <w:p>
            <w:pPr>
              <w:spacing w:before="60" w:after="60"/>
            </w:pPr>
            <w:r>
              <w:rPr>
                <w:rFonts w:ascii="Consolas" w:hAnsi="Consolas"/>
                <w:color w:val="282828"/>
                <w:sz w:val="18"/>
              </w:rPr>
              <w:t>v = read_tvar(my_tvar);</w:t>
              <w:br/>
              <w:t>write_tvar(my_tvar, v+5);</w:t>
            </w:r>
          </w:p>
        </w:tc>
        <w:tc>
          <w:tcPr>
            <w:tcW w:type="dxa" w:w="4320"/>
            <w:shd w:val="clear" w:color="auto" w:fill="F2F5F8"/>
            <w:tcMar>
              <w:top w:w="100" w:type="dxa"/>
              <w:bottom w:w="100" w:type="dxa"/>
              <w:left w:w="150" w:type="dxa"/>
              <w:right w:w="150" w:type="dxa"/>
            </w:tcMar>
          </w:tcPr>
          <w:p>
            <w:pPr>
              <w:spacing w:before="60" w:after="60"/>
            </w:pPr>
            <w:r>
              <w:rPr>
                <w:rFonts w:ascii="Arial" w:hAnsi="Arial"/>
                <w:color w:val="323232"/>
                <w:sz w:val="19"/>
              </w:rPr>
              <w:t>Читання та запис TVar. Дозволено виключно всередині блоку atomically. / Read and write TVar operations. Only permitted inside atomically blocks.</w:t>
            </w:r>
          </w:p>
        </w:tc>
      </w:tr>
      <w:tr>
        <w:tc>
          <w:tcPr>
            <w:tcW w:type="dxa" w:w="2160"/>
            <w:shd w:val="clear" w:color="auto" w:fill="FFFFFF"/>
            <w:tcMar>
              <w:top w:w="100" w:type="dxa"/>
              <w:bottom w:w="100" w:type="dxa"/>
              <w:left w:w="150" w:type="dxa"/>
              <w:right w:w="150" w:type="dxa"/>
            </w:tcMar>
          </w:tcPr>
          <w:p>
            <w:pPr>
              <w:spacing w:before="60" w:after="60"/>
            </w:pPr>
            <w:r>
              <w:rPr>
                <w:rFonts w:ascii="Arial" w:hAnsi="Arial"/>
                <w:color w:val="323232"/>
                <w:sz w:val="19"/>
              </w:rPr>
              <w:t>atomically</w:t>
            </w:r>
          </w:p>
        </w:tc>
        <w:tc>
          <w:tcPr>
            <w:tcW w:type="dxa" w:w="2880"/>
            <w:shd w:val="clear" w:color="auto" w:fill="FFFFFF"/>
            <w:tcMar>
              <w:top w:w="100" w:type="dxa"/>
              <w:bottom w:w="100" w:type="dxa"/>
              <w:left w:w="150" w:type="dxa"/>
              <w:right w:w="150" w:type="dxa"/>
            </w:tcMar>
          </w:tcPr>
          <w:p>
            <w:pPr>
              <w:spacing w:before="60" w:after="60"/>
            </w:pPr>
            <w:r>
              <w:rPr>
                <w:rFonts w:ascii="Consolas" w:hAnsi="Consolas"/>
                <w:color w:val="282828"/>
                <w:sz w:val="18"/>
              </w:rPr>
              <w:t>atomically {</w:t>
              <w:br/>
              <w:t xml:space="preserve">    write_tvar(my_tvar, 1);</w:t>
              <w:br/>
              <w:t>}</w:t>
            </w:r>
          </w:p>
        </w:tc>
        <w:tc>
          <w:tcPr>
            <w:tcW w:type="dxa" w:w="4320"/>
            <w:shd w:val="clear" w:color="auto" w:fill="FFFFFF"/>
            <w:tcMar>
              <w:top w:w="100" w:type="dxa"/>
              <w:bottom w:w="100" w:type="dxa"/>
              <w:left w:w="150" w:type="dxa"/>
              <w:right w:w="150" w:type="dxa"/>
            </w:tcMar>
          </w:tcPr>
          <w:p>
            <w:pPr>
              <w:spacing w:before="60" w:after="60"/>
            </w:pPr>
            <w:r>
              <w:rPr>
                <w:rFonts w:ascii="Arial" w:hAnsi="Arial"/>
                <w:color w:val="323232"/>
                <w:sz w:val="19"/>
              </w:rPr>
              <w:t>Виконує код атомарно. При конфлікті транзакція автоматично відкочується (Rollback) і перезапускається. / Executes block atomically. Rolls back and retries on collision.</w:t>
            </w:r>
          </w:p>
        </w:tc>
      </w:tr>
      <w:tr>
        <w:tc>
          <w:tcPr>
            <w:tcW w:type="dxa" w:w="2160"/>
            <w:shd w:val="clear" w:color="auto" w:fill="F2F5F8"/>
            <w:tcMar>
              <w:top w:w="100" w:type="dxa"/>
              <w:bottom w:w="100" w:type="dxa"/>
              <w:left w:w="150" w:type="dxa"/>
              <w:right w:w="150" w:type="dxa"/>
            </w:tcMar>
          </w:tcPr>
          <w:p>
            <w:pPr>
              <w:spacing w:before="60" w:after="60"/>
            </w:pPr>
            <w:r>
              <w:rPr>
                <w:rFonts w:ascii="Arial" w:hAnsi="Arial"/>
                <w:color w:val="323232"/>
                <w:sz w:val="19"/>
              </w:rPr>
              <w:t>retry</w:t>
            </w:r>
          </w:p>
        </w:tc>
        <w:tc>
          <w:tcPr>
            <w:tcW w:type="dxa" w:w="2880"/>
            <w:shd w:val="clear" w:color="auto" w:fill="F2F5F8"/>
            <w:tcMar>
              <w:top w:w="100" w:type="dxa"/>
              <w:bottom w:w="100" w:type="dxa"/>
              <w:left w:w="150" w:type="dxa"/>
              <w:right w:w="150" w:type="dxa"/>
            </w:tcMar>
          </w:tcPr>
          <w:p>
            <w:pPr>
              <w:spacing w:before="60" w:after="60"/>
            </w:pPr>
            <w:r>
              <w:rPr>
                <w:rFonts w:ascii="Consolas" w:hAnsi="Consolas"/>
                <w:color w:val="282828"/>
                <w:sz w:val="18"/>
              </w:rPr>
              <w:t>if val &lt; cost {</w:t>
              <w:br/>
              <w:t xml:space="preserve">    retry;</w:t>
              <w:br/>
              <w:t>}</w:t>
            </w:r>
          </w:p>
        </w:tc>
        <w:tc>
          <w:tcPr>
            <w:tcW w:type="dxa" w:w="4320"/>
            <w:shd w:val="clear" w:color="auto" w:fill="F2F5F8"/>
            <w:tcMar>
              <w:top w:w="100" w:type="dxa"/>
              <w:bottom w:w="100" w:type="dxa"/>
              <w:left w:w="150" w:type="dxa"/>
              <w:right w:w="150" w:type="dxa"/>
            </w:tcMar>
          </w:tcPr>
          <w:p>
            <w:pPr>
              <w:spacing w:before="60" w:after="60"/>
            </w:pPr>
            <w:r>
              <w:rPr>
                <w:rFonts w:ascii="Arial" w:hAnsi="Arial"/>
                <w:color w:val="323232"/>
                <w:sz w:val="19"/>
              </w:rPr>
              <w:t>Скасовує транзакцію, засинає і пробуджується лише при зміні задіяних TVars. / Aborts transaction, sleeps, and retries when watched TVars update.</w:t>
            </w:r>
          </w:p>
        </w:tc>
      </w:tr>
    </w:tbl>
    <w:p>
      <w:pPr>
        <w:spacing w:before="160"/>
      </w:pPr>
    </w:p>
    <w:p>
      <w:pPr>
        <w:pStyle w:val="Heading2"/>
        <w:keepNext/>
        <w:spacing w:before="240" w:after="120"/>
      </w:pPr>
      <w:r>
        <w:rPr>
          <w:rFonts w:ascii="Arial" w:hAnsi="Arial"/>
          <w:b/>
          <w:color w:val="2F5496"/>
          <w:sz w:val="26"/>
        </w:rPr>
        <w:t>5. Канали Go-style (CSP) та Модель Акторів Elixir</w:t>
      </w:r>
      <w:r>
        <w:rPr>
          <w:rFonts w:ascii="Arial" w:hAnsi="Arial"/>
          <w:color w:val="808080"/>
          <w:sz w:val="26"/>
        </w:rPr>
        <w:t xml:space="preserve"> / </w:t>
      </w:r>
      <w:r>
        <w:rPr>
          <w:rFonts w:ascii="Arial" w:hAnsi="Arial"/>
          <w:b/>
          <w:color w:val="2F5496"/>
          <w:sz w:val="26"/>
        </w:rPr>
        <w:t>5. Go-style Channels (CSP) &amp; Elixir Actor Model</w:t>
      </w:r>
    </w:p>
    <w:tbl>
      <w:tblPr>
        <w:tblW w:type="auto" w:w="0"/>
        <w:jc w:val="center"/>
        <w:tblLayout w:type="fixed"/>
        <w:tblLook w:firstColumn="1" w:firstRow="1" w:lastColumn="0" w:lastRow="0" w:noHBand="0" w:noVBand="1" w:val="04A0"/>
      </w:tblPr>
      <w:tblGrid>
        <w:gridCol w:w="3120"/>
        <w:gridCol w:w="3120"/>
        <w:gridCol w:w="3120"/>
      </w:tblGrid>
      <w:tr>
        <w:tc>
          <w:tcPr>
            <w:tcW w:type="dxa" w:w="2160"/>
            <w:shd w:val="clear" w:color="auto" w:fill="1F497D"/>
            <w:tcMar>
              <w:top w:w="120" w:type="dxa"/>
              <w:bottom w:w="120" w:type="dxa"/>
              <w:left w:w="150" w:type="dxa"/>
              <w:right w:w="150" w:type="dxa"/>
            </w:tcMar>
          </w:tcPr>
          <w:p>
            <w:r>
              <w:rPr>
                <w:rFonts w:ascii="Arial" w:hAnsi="Arial"/>
                <w:b/>
                <w:color w:val="FFFFFF"/>
                <w:sz w:val="20"/>
              </w:rPr>
              <w:t>Конструкція / Оператор</w:t>
            </w:r>
          </w:p>
        </w:tc>
        <w:tc>
          <w:tcPr>
            <w:tcW w:type="dxa" w:w="2880"/>
            <w:shd w:val="clear" w:color="auto" w:fill="1F497D"/>
            <w:tcMar>
              <w:top w:w="120" w:type="dxa"/>
              <w:bottom w:w="120" w:type="dxa"/>
              <w:left w:w="150" w:type="dxa"/>
              <w:right w:w="150" w:type="dxa"/>
            </w:tcMar>
          </w:tcPr>
          <w:p>
            <w:r>
              <w:rPr>
                <w:rFonts w:ascii="Arial" w:hAnsi="Arial"/>
                <w:b/>
                <w:color w:val="FFFFFF"/>
                <w:sz w:val="20"/>
              </w:rPr>
              <w:t>Приклад у ParaLang</w:t>
            </w:r>
          </w:p>
        </w:tc>
        <w:tc>
          <w:tcPr>
            <w:tcW w:type="dxa" w:w="4320"/>
            <w:shd w:val="clear" w:color="auto" w:fill="1F497D"/>
            <w:tcMar>
              <w:top w:w="120" w:type="dxa"/>
              <w:bottom w:w="120" w:type="dxa"/>
              <w:left w:w="150" w:type="dxa"/>
              <w:right w:w="150" w:type="dxa"/>
            </w:tcMar>
          </w:tcPr>
          <w:p>
            <w:r>
              <w:rPr>
                <w:rFonts w:ascii="Arial" w:hAnsi="Arial"/>
                <w:b/>
                <w:color w:val="FFFFFF"/>
                <w:sz w:val="20"/>
              </w:rPr>
              <w:t>Опис дії (Bilingual Description)</w:t>
            </w:r>
          </w:p>
        </w:tc>
      </w:tr>
      <w:tr>
        <w:tc>
          <w:tcPr>
            <w:tcW w:type="dxa" w:w="2160"/>
            <w:shd w:val="clear" w:color="auto" w:fill="FFFFFF"/>
            <w:tcMar>
              <w:top w:w="100" w:type="dxa"/>
              <w:bottom w:w="100" w:type="dxa"/>
              <w:left w:w="150" w:type="dxa"/>
              <w:right w:w="150" w:type="dxa"/>
            </w:tcMar>
          </w:tcPr>
          <w:p>
            <w:pPr>
              <w:spacing w:before="60" w:after="60"/>
            </w:pPr>
            <w:r>
              <w:rPr>
                <w:rFonts w:ascii="Arial" w:hAnsi="Arial"/>
                <w:color w:val="323232"/>
                <w:sz w:val="19"/>
              </w:rPr>
              <w:t>channel</w:t>
            </w:r>
          </w:p>
        </w:tc>
        <w:tc>
          <w:tcPr>
            <w:tcW w:type="dxa" w:w="2880"/>
            <w:shd w:val="clear" w:color="auto" w:fill="FFFFFF"/>
            <w:tcMar>
              <w:top w:w="100" w:type="dxa"/>
              <w:bottom w:w="100" w:type="dxa"/>
              <w:left w:w="150" w:type="dxa"/>
              <w:right w:w="150" w:type="dxa"/>
            </w:tcMar>
          </w:tcPr>
          <w:p>
            <w:pPr>
              <w:spacing w:before="60" w:after="60"/>
            </w:pPr>
            <w:r>
              <w:rPr>
                <w:rFonts w:ascii="Consolas" w:hAnsi="Consolas"/>
                <w:color w:val="282828"/>
                <w:sz w:val="18"/>
              </w:rPr>
              <w:t>ch = channel(5);</w:t>
            </w:r>
          </w:p>
        </w:tc>
        <w:tc>
          <w:tcPr>
            <w:tcW w:type="dxa" w:w="4320"/>
            <w:shd w:val="clear" w:color="auto" w:fill="FFFFFF"/>
            <w:tcMar>
              <w:top w:w="100" w:type="dxa"/>
              <w:bottom w:w="100" w:type="dxa"/>
              <w:left w:w="150" w:type="dxa"/>
              <w:right w:w="150" w:type="dxa"/>
            </w:tcMar>
          </w:tcPr>
          <w:p>
            <w:pPr>
              <w:spacing w:before="60" w:after="60"/>
            </w:pPr>
            <w:r>
              <w:rPr>
                <w:rFonts w:ascii="Arial" w:hAnsi="Arial"/>
                <w:color w:val="323232"/>
                <w:sz w:val="19"/>
              </w:rPr>
              <w:t>Створення анонімного каналу зв'язку з буфером вказаного розміру. / Spawns an anonymous communication channel with the specified buffer capacity.</w:t>
            </w:r>
          </w:p>
        </w:tc>
      </w:tr>
      <w:tr>
        <w:tc>
          <w:tcPr>
            <w:tcW w:type="dxa" w:w="2160"/>
            <w:shd w:val="clear" w:color="auto" w:fill="F2F5F8"/>
            <w:tcMar>
              <w:top w:w="100" w:type="dxa"/>
              <w:bottom w:w="100" w:type="dxa"/>
              <w:left w:w="150" w:type="dxa"/>
              <w:right w:w="150" w:type="dxa"/>
            </w:tcMar>
          </w:tcPr>
          <w:p>
            <w:pPr>
              <w:spacing w:before="60" w:after="60"/>
            </w:pPr>
            <w:r>
              <w:rPr>
                <w:rFonts w:ascii="Arial" w:hAnsi="Arial"/>
                <w:color w:val="323232"/>
                <w:sz w:val="19"/>
              </w:rPr>
              <w:t>&lt;- (Надсилання / Отримання)</w:t>
            </w:r>
          </w:p>
        </w:tc>
        <w:tc>
          <w:tcPr>
            <w:tcW w:type="dxa" w:w="2880"/>
            <w:shd w:val="clear" w:color="auto" w:fill="F2F5F8"/>
            <w:tcMar>
              <w:top w:w="100" w:type="dxa"/>
              <w:bottom w:w="100" w:type="dxa"/>
              <w:left w:w="150" w:type="dxa"/>
              <w:right w:w="150" w:type="dxa"/>
            </w:tcMar>
          </w:tcPr>
          <w:p>
            <w:pPr>
              <w:spacing w:before="60" w:after="60"/>
            </w:pPr>
            <w:r>
              <w:rPr>
                <w:rFonts w:ascii="Consolas" w:hAnsi="Consolas"/>
                <w:color w:val="282828"/>
                <w:sz w:val="18"/>
              </w:rPr>
              <w:t>ch &lt;- 42;</w:t>
              <w:br/>
              <w:t>val = &lt;- ch;</w:t>
            </w:r>
          </w:p>
        </w:tc>
        <w:tc>
          <w:tcPr>
            <w:tcW w:type="dxa" w:w="4320"/>
            <w:shd w:val="clear" w:color="auto" w:fill="F2F5F8"/>
            <w:tcMar>
              <w:top w:w="100" w:type="dxa"/>
              <w:bottom w:w="100" w:type="dxa"/>
              <w:left w:w="150" w:type="dxa"/>
              <w:right w:w="150" w:type="dxa"/>
            </w:tcMar>
          </w:tcPr>
          <w:p>
            <w:pPr>
              <w:spacing w:before="60" w:after="60"/>
            </w:pPr>
            <w:r>
              <w:rPr>
                <w:rFonts w:ascii="Arial" w:hAnsi="Arial"/>
                <w:color w:val="323232"/>
                <w:sz w:val="19"/>
              </w:rPr>
              <w:t>ch &lt;- val відправляє значення в канал; &lt;- ch блокує потік до зчитування з каналу. / ch &lt;- sends a value; &lt;- ch reads a value blocking if empty.</w:t>
            </w:r>
          </w:p>
        </w:tc>
      </w:tr>
      <w:tr>
        <w:tc>
          <w:tcPr>
            <w:tcW w:type="dxa" w:w="2160"/>
            <w:shd w:val="clear" w:color="auto" w:fill="FFFFFF"/>
            <w:tcMar>
              <w:top w:w="100" w:type="dxa"/>
              <w:bottom w:w="100" w:type="dxa"/>
              <w:left w:w="150" w:type="dxa"/>
              <w:right w:w="150" w:type="dxa"/>
            </w:tcMar>
          </w:tcPr>
          <w:p>
            <w:pPr>
              <w:spacing w:before="60" w:after="60"/>
            </w:pPr>
            <w:r>
              <w:rPr>
                <w:rFonts w:ascii="Arial" w:hAnsi="Arial"/>
                <w:color w:val="323232"/>
                <w:sz w:val="19"/>
              </w:rPr>
              <w:t>spawn</w:t>
            </w:r>
          </w:p>
        </w:tc>
        <w:tc>
          <w:tcPr>
            <w:tcW w:type="dxa" w:w="2880"/>
            <w:shd w:val="clear" w:color="auto" w:fill="FFFFFF"/>
            <w:tcMar>
              <w:top w:w="100" w:type="dxa"/>
              <w:bottom w:w="100" w:type="dxa"/>
              <w:left w:w="150" w:type="dxa"/>
              <w:right w:w="150" w:type="dxa"/>
            </w:tcMar>
          </w:tcPr>
          <w:p>
            <w:pPr>
              <w:spacing w:before="60" w:after="60"/>
            </w:pPr>
            <w:r>
              <w:rPr>
                <w:rFonts w:ascii="Consolas" w:hAnsi="Consolas"/>
                <w:color w:val="282828"/>
                <w:sz w:val="18"/>
              </w:rPr>
              <w:t>spawn {</w:t>
              <w:br/>
              <w:t xml:space="preserve">    print("Hello");</w:t>
              <w:br/>
              <w:t>}</w:t>
            </w:r>
          </w:p>
        </w:tc>
        <w:tc>
          <w:tcPr>
            <w:tcW w:type="dxa" w:w="4320"/>
            <w:shd w:val="clear" w:color="auto" w:fill="FFFFFF"/>
            <w:tcMar>
              <w:top w:w="100" w:type="dxa"/>
              <w:bottom w:w="100" w:type="dxa"/>
              <w:left w:w="150" w:type="dxa"/>
              <w:right w:w="150" w:type="dxa"/>
            </w:tcMar>
          </w:tcPr>
          <w:p>
            <w:pPr>
              <w:spacing w:before="60" w:after="60"/>
            </w:pPr>
            <w:r>
              <w:rPr>
                <w:rFonts w:ascii="Arial" w:hAnsi="Arial"/>
                <w:color w:val="323232"/>
                <w:sz w:val="19"/>
              </w:rPr>
              <w:t>Асинхронний запуск паралельної задачі в анонімному незалежному потоці. / Spawns an asynchronous task in an anonymous lightweight thread.</w:t>
            </w:r>
          </w:p>
        </w:tc>
      </w:tr>
      <w:tr>
        <w:tc>
          <w:tcPr>
            <w:tcW w:type="dxa" w:w="2160"/>
            <w:shd w:val="clear" w:color="auto" w:fill="F2F5F8"/>
            <w:tcMar>
              <w:top w:w="100" w:type="dxa"/>
              <w:bottom w:w="100" w:type="dxa"/>
              <w:left w:w="150" w:type="dxa"/>
              <w:right w:w="150" w:type="dxa"/>
            </w:tcMar>
          </w:tcPr>
          <w:p>
            <w:pPr>
              <w:spacing w:before="60" w:after="60"/>
            </w:pPr>
            <w:r>
              <w:rPr>
                <w:rFonts w:ascii="Arial" w:hAnsi="Arial"/>
                <w:color w:val="323232"/>
                <w:sz w:val="19"/>
              </w:rPr>
              <w:t>actor</w:t>
            </w:r>
          </w:p>
        </w:tc>
        <w:tc>
          <w:tcPr>
            <w:tcW w:type="dxa" w:w="2880"/>
            <w:shd w:val="clear" w:color="auto" w:fill="F2F5F8"/>
            <w:tcMar>
              <w:top w:w="100" w:type="dxa"/>
              <w:bottom w:w="100" w:type="dxa"/>
              <w:left w:w="150" w:type="dxa"/>
              <w:right w:w="150" w:type="dxa"/>
            </w:tcMar>
          </w:tcPr>
          <w:p>
            <w:pPr>
              <w:spacing w:before="60" w:after="60"/>
            </w:pPr>
            <w:r>
              <w:rPr>
                <w:rFonts w:ascii="Consolas" w:hAnsi="Consolas"/>
                <w:color w:val="282828"/>
                <w:sz w:val="18"/>
              </w:rPr>
              <w:t>actor Counter {</w:t>
              <w:br/>
              <w:t xml:space="preserve">    state_val = 0;</w:t>
              <w:br/>
              <w:t xml:space="preserve">    receive(msg) {</w:t>
              <w:br/>
              <w:t xml:space="preserve">        state_val += msg;</w:t>
              <w:br/>
              <w:t xml:space="preserve">    }</w:t>
              <w:br/>
              <w:t>}</w:t>
            </w:r>
          </w:p>
        </w:tc>
        <w:tc>
          <w:tcPr>
            <w:tcW w:type="dxa" w:w="4320"/>
            <w:shd w:val="clear" w:color="auto" w:fill="F2F5F8"/>
            <w:tcMar>
              <w:top w:w="100" w:type="dxa"/>
              <w:bottom w:w="100" w:type="dxa"/>
              <w:left w:w="150" w:type="dxa"/>
              <w:right w:w="150" w:type="dxa"/>
            </w:tcMar>
          </w:tcPr>
          <w:p>
            <w:pPr>
              <w:spacing w:before="60" w:after="60"/>
            </w:pPr>
            <w:r>
              <w:rPr>
                <w:rFonts w:ascii="Arial" w:hAnsi="Arial"/>
                <w:color w:val="323232"/>
                <w:sz w:val="19"/>
              </w:rPr>
              <w:t>Оголошення класу актора з ізольованим внутрішнім станом та реакцією на повідомлення. / Declares an actor class with isolated state and mailbox callbacks.</w:t>
            </w:r>
          </w:p>
        </w:tc>
      </w:tr>
      <w:tr>
        <w:tc>
          <w:tcPr>
            <w:tcW w:type="dxa" w:w="2160"/>
            <w:shd w:val="clear" w:color="auto" w:fill="FFFFFF"/>
            <w:tcMar>
              <w:top w:w="100" w:type="dxa"/>
              <w:bottom w:w="100" w:type="dxa"/>
              <w:left w:w="150" w:type="dxa"/>
              <w:right w:w="150" w:type="dxa"/>
            </w:tcMar>
          </w:tcPr>
          <w:p>
            <w:pPr>
              <w:spacing w:before="60" w:after="60"/>
            </w:pPr>
            <w:r>
              <w:rPr>
                <w:rFonts w:ascii="Arial" w:hAnsi="Arial"/>
                <w:color w:val="323232"/>
                <w:sz w:val="19"/>
              </w:rPr>
              <w:t>Actor Sending</w:t>
            </w:r>
          </w:p>
        </w:tc>
        <w:tc>
          <w:tcPr>
            <w:tcW w:type="dxa" w:w="2880"/>
            <w:shd w:val="clear" w:color="auto" w:fill="FFFFFF"/>
            <w:tcMar>
              <w:top w:w="100" w:type="dxa"/>
              <w:bottom w:w="100" w:type="dxa"/>
              <w:left w:w="150" w:type="dxa"/>
              <w:right w:w="150" w:type="dxa"/>
            </w:tcMar>
          </w:tcPr>
          <w:p>
            <w:pPr>
              <w:spacing w:before="60" w:after="60"/>
            </w:pPr>
            <w:r>
              <w:rPr>
                <w:rFonts w:ascii="Consolas" w:hAnsi="Consolas"/>
                <w:color w:val="282828"/>
                <w:sz w:val="18"/>
              </w:rPr>
              <w:t>my_actor = Counter();</w:t>
              <w:br/>
              <w:t>my_actor &lt;- 10;</w:t>
            </w:r>
          </w:p>
        </w:tc>
        <w:tc>
          <w:tcPr>
            <w:tcW w:type="dxa" w:w="4320"/>
            <w:shd w:val="clear" w:color="auto" w:fill="FFFFFF"/>
            <w:tcMar>
              <w:top w:w="100" w:type="dxa"/>
              <w:bottom w:w="100" w:type="dxa"/>
              <w:left w:w="150" w:type="dxa"/>
              <w:right w:w="150" w:type="dxa"/>
            </w:tcMar>
          </w:tcPr>
          <w:p>
            <w:pPr>
              <w:spacing w:before="60" w:after="60"/>
            </w:pPr>
            <w:r>
              <w:rPr>
                <w:rFonts w:ascii="Arial" w:hAnsi="Arial"/>
                <w:color w:val="323232"/>
                <w:sz w:val="19"/>
              </w:rPr>
              <w:t>Асинхронна відправка повідомлення у поштову скриньку конкретного актора. / Asynchronously delivers a message to a specific actor's mailbox.</w:t>
            </w:r>
          </w:p>
        </w:tc>
      </w:tr>
    </w:tbl>
    <w:p>
      <w:pPr>
        <w:spacing w:before="160"/>
      </w:pPr>
    </w:p>
    <w:p>
      <w:pPr>
        <w:pStyle w:val="Heading2"/>
        <w:keepNext/>
        <w:spacing w:before="240" w:after="120"/>
      </w:pPr>
      <w:r>
        <w:rPr>
          <w:rFonts w:ascii="Arial" w:hAnsi="Arial"/>
          <w:b/>
          <w:color w:val="2F5496"/>
          <w:sz w:val="26"/>
        </w:rPr>
        <w:t>6. Розподілені обчислення (MPI)</w:t>
      </w:r>
      <w:r>
        <w:rPr>
          <w:rFonts w:ascii="Arial" w:hAnsi="Arial"/>
          <w:color w:val="808080"/>
          <w:sz w:val="26"/>
        </w:rPr>
        <w:t xml:space="preserve"> / </w:t>
      </w:r>
      <w:r>
        <w:rPr>
          <w:rFonts w:ascii="Arial" w:hAnsi="Arial"/>
          <w:b/>
          <w:color w:val="2F5496"/>
          <w:sz w:val="26"/>
        </w:rPr>
        <w:t>6. Message Passing Interface (MPI)</w:t>
      </w:r>
    </w:p>
    <w:tbl>
      <w:tblPr>
        <w:tblW w:type="auto" w:w="0"/>
        <w:jc w:val="center"/>
        <w:tblLayout w:type="fixed"/>
        <w:tblLook w:firstColumn="1" w:firstRow="1" w:lastColumn="0" w:lastRow="0" w:noHBand="0" w:noVBand="1" w:val="04A0"/>
      </w:tblPr>
      <w:tblGrid>
        <w:gridCol w:w="3120"/>
        <w:gridCol w:w="3120"/>
        <w:gridCol w:w="3120"/>
      </w:tblGrid>
      <w:tr>
        <w:tc>
          <w:tcPr>
            <w:tcW w:type="dxa" w:w="2160"/>
            <w:shd w:val="clear" w:color="auto" w:fill="1F497D"/>
            <w:tcMar>
              <w:top w:w="120" w:type="dxa"/>
              <w:bottom w:w="120" w:type="dxa"/>
              <w:left w:w="150" w:type="dxa"/>
              <w:right w:w="150" w:type="dxa"/>
            </w:tcMar>
          </w:tcPr>
          <w:p>
            <w:r>
              <w:rPr>
                <w:rFonts w:ascii="Arial" w:hAnsi="Arial"/>
                <w:b/>
                <w:color w:val="FFFFFF"/>
                <w:sz w:val="20"/>
              </w:rPr>
              <w:t>Операція MPI</w:t>
            </w:r>
          </w:p>
        </w:tc>
        <w:tc>
          <w:tcPr>
            <w:tcW w:type="dxa" w:w="2880"/>
            <w:shd w:val="clear" w:color="auto" w:fill="1F497D"/>
            <w:tcMar>
              <w:top w:w="120" w:type="dxa"/>
              <w:bottom w:w="120" w:type="dxa"/>
              <w:left w:w="150" w:type="dxa"/>
              <w:right w:w="150" w:type="dxa"/>
            </w:tcMar>
          </w:tcPr>
          <w:p>
            <w:r>
              <w:rPr>
                <w:rFonts w:ascii="Arial" w:hAnsi="Arial"/>
                <w:b/>
                <w:color w:val="FFFFFF"/>
                <w:sz w:val="20"/>
              </w:rPr>
              <w:t>Приклад у ParaLang</w:t>
            </w:r>
          </w:p>
        </w:tc>
        <w:tc>
          <w:tcPr>
            <w:tcW w:type="dxa" w:w="4320"/>
            <w:shd w:val="clear" w:color="auto" w:fill="1F497D"/>
            <w:tcMar>
              <w:top w:w="120" w:type="dxa"/>
              <w:bottom w:w="120" w:type="dxa"/>
              <w:left w:w="150" w:type="dxa"/>
              <w:right w:w="150" w:type="dxa"/>
            </w:tcMar>
          </w:tcPr>
          <w:p>
            <w:r>
              <w:rPr>
                <w:rFonts w:ascii="Arial" w:hAnsi="Arial"/>
                <w:b/>
                <w:color w:val="FFFFFF"/>
                <w:sz w:val="20"/>
              </w:rPr>
              <w:t>Опис дії (Bilingual Description)</w:t>
            </w:r>
          </w:p>
        </w:tc>
      </w:tr>
      <w:tr>
        <w:tc>
          <w:tcPr>
            <w:tcW w:type="dxa" w:w="2160"/>
            <w:shd w:val="clear" w:color="auto" w:fill="FFFFFF"/>
            <w:tcMar>
              <w:top w:w="100" w:type="dxa"/>
              <w:bottom w:w="100" w:type="dxa"/>
              <w:left w:w="150" w:type="dxa"/>
              <w:right w:w="150" w:type="dxa"/>
            </w:tcMar>
          </w:tcPr>
          <w:p>
            <w:pPr>
              <w:spacing w:before="60" w:after="60"/>
            </w:pPr>
            <w:r>
              <w:rPr>
                <w:rFonts w:ascii="Arial" w:hAnsi="Arial"/>
                <w:color w:val="323232"/>
                <w:sz w:val="19"/>
              </w:rPr>
              <w:t>mpi_run</w:t>
            </w:r>
          </w:p>
        </w:tc>
        <w:tc>
          <w:tcPr>
            <w:tcW w:type="dxa" w:w="2880"/>
            <w:shd w:val="clear" w:color="auto" w:fill="FFFFFF"/>
            <w:tcMar>
              <w:top w:w="100" w:type="dxa"/>
              <w:bottom w:w="100" w:type="dxa"/>
              <w:left w:w="150" w:type="dxa"/>
              <w:right w:w="150" w:type="dxa"/>
            </w:tcMar>
          </w:tcPr>
          <w:p>
            <w:pPr>
              <w:spacing w:before="60" w:after="60"/>
            </w:pPr>
            <w:r>
              <w:rPr>
                <w:rFonts w:ascii="Consolas" w:hAnsi="Consolas"/>
                <w:color w:val="282828"/>
                <w:sz w:val="18"/>
              </w:rPr>
              <w:t>mpi_run(4) {</w:t>
              <w:br/>
              <w:t xml:space="preserve">    // код для 4 вузлів</w:t>
              <w:br/>
              <w:t>}</w:t>
            </w:r>
          </w:p>
        </w:tc>
        <w:tc>
          <w:tcPr>
            <w:tcW w:type="dxa" w:w="4320"/>
            <w:shd w:val="clear" w:color="auto" w:fill="FFFFFF"/>
            <w:tcMar>
              <w:top w:w="100" w:type="dxa"/>
              <w:bottom w:w="100" w:type="dxa"/>
              <w:left w:w="150" w:type="dxa"/>
              <w:right w:w="150" w:type="dxa"/>
            </w:tcMar>
          </w:tcPr>
          <w:p>
            <w:pPr>
              <w:spacing w:before="60" w:after="60"/>
            </w:pPr>
            <w:r>
              <w:rPr>
                <w:rFonts w:ascii="Arial" w:hAnsi="Arial"/>
                <w:color w:val="323232"/>
                <w:sz w:val="19"/>
              </w:rPr>
              <w:t>Запускає ізольований паралельний розподілений кластер із вказаною кількістю вузлів. / Spawns an isolated parallel cluster of virtual nodes.</w:t>
            </w:r>
          </w:p>
        </w:tc>
      </w:tr>
      <w:tr>
        <w:tc>
          <w:tcPr>
            <w:tcW w:type="dxa" w:w="2160"/>
            <w:shd w:val="clear" w:color="auto" w:fill="F2F5F8"/>
            <w:tcMar>
              <w:top w:w="100" w:type="dxa"/>
              <w:bottom w:w="100" w:type="dxa"/>
              <w:left w:w="150" w:type="dxa"/>
              <w:right w:w="150" w:type="dxa"/>
            </w:tcMar>
          </w:tcPr>
          <w:p>
            <w:pPr>
              <w:spacing w:before="60" w:after="60"/>
            </w:pPr>
            <w:r>
              <w:rPr>
                <w:rFonts w:ascii="Arial" w:hAnsi="Arial"/>
                <w:color w:val="323232"/>
                <w:sz w:val="19"/>
              </w:rPr>
              <w:t>rank / size</w:t>
            </w:r>
          </w:p>
        </w:tc>
        <w:tc>
          <w:tcPr>
            <w:tcW w:type="dxa" w:w="2880"/>
            <w:shd w:val="clear" w:color="auto" w:fill="F2F5F8"/>
            <w:tcMar>
              <w:top w:w="100" w:type="dxa"/>
              <w:bottom w:w="100" w:type="dxa"/>
              <w:left w:w="150" w:type="dxa"/>
              <w:right w:w="150" w:type="dxa"/>
            </w:tcMar>
          </w:tcPr>
          <w:p>
            <w:pPr>
              <w:spacing w:before="60" w:after="60"/>
            </w:pPr>
            <w:r>
              <w:rPr>
                <w:rFonts w:ascii="Consolas" w:hAnsi="Consolas"/>
                <w:color w:val="282828"/>
                <w:sz w:val="18"/>
              </w:rPr>
              <w:t>my_id = rank;</w:t>
              <w:br/>
              <w:t>cluster_size = size;</w:t>
            </w:r>
          </w:p>
        </w:tc>
        <w:tc>
          <w:tcPr>
            <w:tcW w:type="dxa" w:w="4320"/>
            <w:shd w:val="clear" w:color="auto" w:fill="F2F5F8"/>
            <w:tcMar>
              <w:top w:w="100" w:type="dxa"/>
              <w:bottom w:w="100" w:type="dxa"/>
              <w:left w:w="150" w:type="dxa"/>
              <w:right w:w="150" w:type="dxa"/>
            </w:tcMar>
          </w:tcPr>
          <w:p>
            <w:pPr>
              <w:spacing w:before="60" w:after="60"/>
            </w:pPr>
            <w:r>
              <w:rPr>
                <w:rFonts w:ascii="Arial" w:hAnsi="Arial"/>
                <w:color w:val="323232"/>
                <w:sz w:val="19"/>
              </w:rPr>
              <w:t>Системні змінні: rank повертає ID поточного вузла (0..size-1), size — загальну кількість вузлів. / System variables: node identifier and total node count.</w:t>
            </w:r>
          </w:p>
        </w:tc>
      </w:tr>
      <w:tr>
        <w:tc>
          <w:tcPr>
            <w:tcW w:type="dxa" w:w="2160"/>
            <w:shd w:val="clear" w:color="auto" w:fill="FFFFFF"/>
            <w:tcMar>
              <w:top w:w="100" w:type="dxa"/>
              <w:bottom w:w="100" w:type="dxa"/>
              <w:left w:w="150" w:type="dxa"/>
              <w:right w:w="150" w:type="dxa"/>
            </w:tcMar>
          </w:tcPr>
          <w:p>
            <w:pPr>
              <w:spacing w:before="60" w:after="60"/>
            </w:pPr>
            <w:r>
              <w:rPr>
                <w:rFonts w:ascii="Arial" w:hAnsi="Arial"/>
                <w:color w:val="323232"/>
                <w:sz w:val="19"/>
              </w:rPr>
              <w:t>mpi_send / mpi_recv</w:t>
            </w:r>
          </w:p>
        </w:tc>
        <w:tc>
          <w:tcPr>
            <w:tcW w:type="dxa" w:w="2880"/>
            <w:shd w:val="clear" w:color="auto" w:fill="FFFFFF"/>
            <w:tcMar>
              <w:top w:w="100" w:type="dxa"/>
              <w:bottom w:w="100" w:type="dxa"/>
              <w:left w:w="150" w:type="dxa"/>
              <w:right w:w="150" w:type="dxa"/>
            </w:tcMar>
          </w:tcPr>
          <w:p>
            <w:pPr>
              <w:spacing w:before="60" w:after="60"/>
            </w:pPr>
            <w:r>
              <w:rPr>
                <w:rFonts w:ascii="Consolas" w:hAnsi="Consolas"/>
                <w:color w:val="282828"/>
                <w:sz w:val="18"/>
              </w:rPr>
              <w:t>mpi_send(1, msg);</w:t>
              <w:br/>
              <w:t>msg = mpi_recv(0);</w:t>
            </w:r>
          </w:p>
        </w:tc>
        <w:tc>
          <w:tcPr>
            <w:tcW w:type="dxa" w:w="4320"/>
            <w:shd w:val="clear" w:color="auto" w:fill="FFFFFF"/>
            <w:tcMar>
              <w:top w:w="100" w:type="dxa"/>
              <w:bottom w:w="100" w:type="dxa"/>
              <w:left w:w="150" w:type="dxa"/>
              <w:right w:w="150" w:type="dxa"/>
            </w:tcMar>
          </w:tcPr>
          <w:p>
            <w:pPr>
              <w:spacing w:before="60" w:after="60"/>
            </w:pPr>
            <w:r>
              <w:rPr>
                <w:rFonts w:ascii="Arial" w:hAnsi="Arial"/>
                <w:color w:val="323232"/>
                <w:sz w:val="19"/>
              </w:rPr>
              <w:t>Двосторонній обмін: mpi_send відправляє дані; mpi_recv блокує потік до отримання. / Point-to-point communication. Sends or blocks to receive.</w:t>
            </w:r>
          </w:p>
        </w:tc>
      </w:tr>
      <w:tr>
        <w:tc>
          <w:tcPr>
            <w:tcW w:type="dxa" w:w="2160"/>
            <w:shd w:val="clear" w:color="auto" w:fill="F2F5F8"/>
            <w:tcMar>
              <w:top w:w="100" w:type="dxa"/>
              <w:bottom w:w="100" w:type="dxa"/>
              <w:left w:w="150" w:type="dxa"/>
              <w:right w:w="150" w:type="dxa"/>
            </w:tcMar>
          </w:tcPr>
          <w:p>
            <w:pPr>
              <w:spacing w:before="60" w:after="60"/>
            </w:pPr>
            <w:r>
              <w:rPr>
                <w:rFonts w:ascii="Arial" w:hAnsi="Arial"/>
                <w:color w:val="323232"/>
                <w:sz w:val="19"/>
              </w:rPr>
              <w:t>mpi_bcast</w:t>
            </w:r>
          </w:p>
        </w:tc>
        <w:tc>
          <w:tcPr>
            <w:tcW w:type="dxa" w:w="2880"/>
            <w:shd w:val="clear" w:color="auto" w:fill="F2F5F8"/>
            <w:tcMar>
              <w:top w:w="100" w:type="dxa"/>
              <w:bottom w:w="100" w:type="dxa"/>
              <w:left w:w="150" w:type="dxa"/>
              <w:right w:w="150" w:type="dxa"/>
            </w:tcMar>
          </w:tcPr>
          <w:p>
            <w:pPr>
              <w:spacing w:before="60" w:after="60"/>
            </w:pPr>
            <w:r>
              <w:rPr>
                <w:rFonts w:ascii="Consolas" w:hAnsi="Consolas"/>
                <w:color w:val="282828"/>
                <w:sz w:val="18"/>
              </w:rPr>
              <w:t>mpi_bcast(0, shared_val);</w:t>
            </w:r>
          </w:p>
        </w:tc>
        <w:tc>
          <w:tcPr>
            <w:tcW w:type="dxa" w:w="4320"/>
            <w:shd w:val="clear" w:color="auto" w:fill="F2F5F8"/>
            <w:tcMar>
              <w:top w:w="100" w:type="dxa"/>
              <w:bottom w:w="100" w:type="dxa"/>
              <w:left w:w="150" w:type="dxa"/>
              <w:right w:w="150" w:type="dxa"/>
            </w:tcMar>
          </w:tcPr>
          <w:p>
            <w:pPr>
              <w:spacing w:before="60" w:after="60"/>
            </w:pPr>
            <w:r>
              <w:rPr>
                <w:rFonts w:ascii="Arial" w:hAnsi="Arial"/>
                <w:color w:val="323232"/>
                <w:sz w:val="19"/>
              </w:rPr>
              <w:t>Колективна операція: вузол з рангом root розсилає значення всім іншим вузлам. / One-to-all broadcast from root node to all cluster nodes.</w:t>
            </w:r>
          </w:p>
        </w:tc>
      </w:tr>
      <w:tr>
        <w:tc>
          <w:tcPr>
            <w:tcW w:type="dxa" w:w="2160"/>
            <w:shd w:val="clear" w:color="auto" w:fill="FFFFFF"/>
            <w:tcMar>
              <w:top w:w="100" w:type="dxa"/>
              <w:bottom w:w="100" w:type="dxa"/>
              <w:left w:w="150" w:type="dxa"/>
              <w:right w:w="150" w:type="dxa"/>
            </w:tcMar>
          </w:tcPr>
          <w:p>
            <w:pPr>
              <w:spacing w:before="60" w:after="60"/>
            </w:pPr>
            <w:r>
              <w:rPr>
                <w:rFonts w:ascii="Arial" w:hAnsi="Arial"/>
                <w:color w:val="323232"/>
                <w:sz w:val="19"/>
              </w:rPr>
              <w:t>mpi_barrier</w:t>
            </w:r>
          </w:p>
        </w:tc>
        <w:tc>
          <w:tcPr>
            <w:tcW w:type="dxa" w:w="2880"/>
            <w:shd w:val="clear" w:color="auto" w:fill="FFFFFF"/>
            <w:tcMar>
              <w:top w:w="100" w:type="dxa"/>
              <w:bottom w:w="100" w:type="dxa"/>
              <w:left w:w="150" w:type="dxa"/>
              <w:right w:w="150" w:type="dxa"/>
            </w:tcMar>
          </w:tcPr>
          <w:p>
            <w:pPr>
              <w:spacing w:before="60" w:after="60"/>
            </w:pPr>
            <w:r>
              <w:rPr>
                <w:rFonts w:ascii="Consolas" w:hAnsi="Consolas"/>
                <w:color w:val="282828"/>
                <w:sz w:val="18"/>
              </w:rPr>
              <w:t>mpi_barrier();</w:t>
            </w:r>
          </w:p>
        </w:tc>
        <w:tc>
          <w:tcPr>
            <w:tcW w:type="dxa" w:w="4320"/>
            <w:shd w:val="clear" w:color="auto" w:fill="FFFFFF"/>
            <w:tcMar>
              <w:top w:w="100" w:type="dxa"/>
              <w:bottom w:w="100" w:type="dxa"/>
              <w:left w:w="150" w:type="dxa"/>
              <w:right w:w="150" w:type="dxa"/>
            </w:tcMar>
          </w:tcPr>
          <w:p>
            <w:pPr>
              <w:spacing w:before="60" w:after="60"/>
            </w:pPr>
            <w:r>
              <w:rPr>
                <w:rFonts w:ascii="Arial" w:hAnsi="Arial"/>
                <w:color w:val="323232"/>
                <w:sz w:val="19"/>
              </w:rPr>
              <w:t>Синхронізує виконання: всі вузли чекають досягнення бар'єра останнім вузлом. / Blocks all nodes until every single node reaches this coordinate.</w:t>
            </w:r>
          </w:p>
        </w:tc>
      </w:tr>
    </w:tbl>
    <w:p>
      <w:pPr>
        <w:spacing w:before="160"/>
      </w:pPr>
    </w:p>
    <w:p>
      <w:pPr>
        <w:pStyle w:val="Heading2"/>
        <w:keepNext/>
        <w:spacing w:before="240" w:after="120"/>
      </w:pPr>
      <w:r>
        <w:rPr>
          <w:rFonts w:ascii="Arial" w:hAnsi="Arial"/>
          <w:b/>
          <w:color w:val="2F5496"/>
          <w:sz w:val="26"/>
        </w:rPr>
        <w:t>7. GPGPU CUDA Обчислення</w:t>
      </w:r>
      <w:r>
        <w:rPr>
          <w:rFonts w:ascii="Arial" w:hAnsi="Arial"/>
          <w:color w:val="808080"/>
          <w:sz w:val="26"/>
        </w:rPr>
        <w:t xml:space="preserve"> / </w:t>
      </w:r>
      <w:r>
        <w:rPr>
          <w:rFonts w:ascii="Arial" w:hAnsi="Arial"/>
          <w:b/>
          <w:color w:val="2F5496"/>
          <w:sz w:val="26"/>
        </w:rPr>
        <w:t>7. GPGPU CUDA Computing</w:t>
      </w:r>
    </w:p>
    <w:tbl>
      <w:tblPr>
        <w:tblW w:type="auto" w:w="0"/>
        <w:jc w:val="center"/>
        <w:tblLayout w:type="fixed"/>
        <w:tblLook w:firstColumn="1" w:firstRow="1" w:lastColumn="0" w:lastRow="0" w:noHBand="0" w:noVBand="1" w:val="04A0"/>
      </w:tblPr>
      <w:tblGrid>
        <w:gridCol w:w="3120"/>
        <w:gridCol w:w="3120"/>
        <w:gridCol w:w="3120"/>
      </w:tblGrid>
      <w:tr>
        <w:tc>
          <w:tcPr>
            <w:tcW w:type="dxa" w:w="2160"/>
            <w:shd w:val="clear" w:color="auto" w:fill="1F497D"/>
            <w:tcMar>
              <w:top w:w="120" w:type="dxa"/>
              <w:bottom w:w="120" w:type="dxa"/>
              <w:left w:w="150" w:type="dxa"/>
              <w:right w:w="150" w:type="dxa"/>
            </w:tcMar>
          </w:tcPr>
          <w:p>
            <w:r>
              <w:rPr>
                <w:rFonts w:ascii="Arial" w:hAnsi="Arial"/>
                <w:b/>
                <w:color w:val="FFFFFF"/>
                <w:sz w:val="20"/>
              </w:rPr>
              <w:t>Команда</w:t>
            </w:r>
          </w:p>
        </w:tc>
        <w:tc>
          <w:tcPr>
            <w:tcW w:type="dxa" w:w="2880"/>
            <w:shd w:val="clear" w:color="auto" w:fill="1F497D"/>
            <w:tcMar>
              <w:top w:w="120" w:type="dxa"/>
              <w:bottom w:w="120" w:type="dxa"/>
              <w:left w:w="150" w:type="dxa"/>
              <w:right w:w="150" w:type="dxa"/>
            </w:tcMar>
          </w:tcPr>
          <w:p>
            <w:r>
              <w:rPr>
                <w:rFonts w:ascii="Arial" w:hAnsi="Arial"/>
                <w:b/>
                <w:color w:val="FFFFFF"/>
                <w:sz w:val="20"/>
              </w:rPr>
              <w:t>Приклад у ParaLang</w:t>
            </w:r>
          </w:p>
        </w:tc>
        <w:tc>
          <w:tcPr>
            <w:tcW w:type="dxa" w:w="4320"/>
            <w:shd w:val="clear" w:color="auto" w:fill="1F497D"/>
            <w:tcMar>
              <w:top w:w="120" w:type="dxa"/>
              <w:bottom w:w="120" w:type="dxa"/>
              <w:left w:w="150" w:type="dxa"/>
              <w:right w:w="150" w:type="dxa"/>
            </w:tcMar>
          </w:tcPr>
          <w:p>
            <w:r>
              <w:rPr>
                <w:rFonts w:ascii="Arial" w:hAnsi="Arial"/>
                <w:b/>
                <w:color w:val="FFFFFF"/>
                <w:sz w:val="20"/>
              </w:rPr>
              <w:t>Опис дії (Bilingual Description)</w:t>
            </w:r>
          </w:p>
        </w:tc>
      </w:tr>
      <w:tr>
        <w:tc>
          <w:tcPr>
            <w:tcW w:type="dxa" w:w="2160"/>
            <w:shd w:val="clear" w:color="auto" w:fill="FFFFFF"/>
            <w:tcMar>
              <w:top w:w="100" w:type="dxa"/>
              <w:bottom w:w="100" w:type="dxa"/>
              <w:left w:w="150" w:type="dxa"/>
              <w:right w:w="150" w:type="dxa"/>
            </w:tcMar>
          </w:tcPr>
          <w:p>
            <w:pPr>
              <w:spacing w:before="60" w:after="60"/>
            </w:pPr>
            <w:r>
              <w:rPr>
                <w:rFonts w:ascii="Arial" w:hAnsi="Arial"/>
                <w:color w:val="323232"/>
                <w:sz w:val="19"/>
              </w:rPr>
              <w:t>cuda_run</w:t>
            </w:r>
          </w:p>
        </w:tc>
        <w:tc>
          <w:tcPr>
            <w:tcW w:type="dxa" w:w="2880"/>
            <w:shd w:val="clear" w:color="auto" w:fill="FFFFFF"/>
            <w:tcMar>
              <w:top w:w="100" w:type="dxa"/>
              <w:bottom w:w="100" w:type="dxa"/>
              <w:left w:w="150" w:type="dxa"/>
              <w:right w:w="150" w:type="dxa"/>
            </w:tcMar>
          </w:tcPr>
          <w:p>
            <w:pPr>
              <w:spacing w:before="60" w:after="60"/>
            </w:pPr>
            <w:r>
              <w:rPr>
                <w:rFonts w:ascii="Consolas" w:hAnsi="Consolas"/>
                <w:color w:val="282828"/>
                <w:sz w:val="18"/>
              </w:rPr>
              <w:t>cuda_run(2, 4, kernel, arr);</w:t>
            </w:r>
          </w:p>
        </w:tc>
        <w:tc>
          <w:tcPr>
            <w:tcW w:type="dxa" w:w="4320"/>
            <w:shd w:val="clear" w:color="auto" w:fill="FFFFFF"/>
            <w:tcMar>
              <w:top w:w="100" w:type="dxa"/>
              <w:bottom w:w="100" w:type="dxa"/>
              <w:left w:w="150" w:type="dxa"/>
              <w:right w:w="150" w:type="dxa"/>
            </w:tcMar>
          </w:tcPr>
          <w:p>
            <w:pPr>
              <w:spacing w:before="60" w:after="60"/>
            </w:pPr>
            <w:r>
              <w:rPr>
                <w:rFonts w:ascii="Arial" w:hAnsi="Arial"/>
                <w:color w:val="323232"/>
                <w:sz w:val="19"/>
              </w:rPr>
              <w:t>Запуск симуляції обчислень на GPU. (2 блоки, 4 потоки на блок, функція ядра, масив даних). / Simulates execution of a GPU kernel across virtual thread grids.</w:t>
            </w:r>
          </w:p>
        </w:tc>
      </w:tr>
      <w:tr>
        <w:tc>
          <w:tcPr>
            <w:tcW w:type="dxa" w:w="2160"/>
            <w:shd w:val="clear" w:color="auto" w:fill="F2F5F8"/>
            <w:tcMar>
              <w:top w:w="100" w:type="dxa"/>
              <w:bottom w:w="100" w:type="dxa"/>
              <w:left w:w="150" w:type="dxa"/>
              <w:right w:w="150" w:type="dxa"/>
            </w:tcMar>
          </w:tcPr>
          <w:p>
            <w:pPr>
              <w:spacing w:before="60" w:after="60"/>
            </w:pPr>
            <w:r>
              <w:rPr>
                <w:rFonts w:ascii="Arial" w:hAnsi="Arial"/>
                <w:color w:val="323232"/>
                <w:sz w:val="19"/>
              </w:rPr>
              <w:t>threadIdx</w:t>
            </w:r>
          </w:p>
        </w:tc>
        <w:tc>
          <w:tcPr>
            <w:tcW w:type="dxa" w:w="2880"/>
            <w:shd w:val="clear" w:color="auto" w:fill="F2F5F8"/>
            <w:tcMar>
              <w:top w:w="100" w:type="dxa"/>
              <w:bottom w:w="100" w:type="dxa"/>
              <w:left w:w="150" w:type="dxa"/>
              <w:right w:w="150" w:type="dxa"/>
            </w:tcMar>
          </w:tcPr>
          <w:p>
            <w:pPr>
              <w:spacing w:before="60" w:after="60"/>
            </w:pPr>
            <w:r>
              <w:rPr>
                <w:rFonts w:ascii="Consolas" w:hAnsi="Consolas"/>
                <w:color w:val="282828"/>
                <w:sz w:val="18"/>
              </w:rPr>
              <w:t>idx = threadIdx;</w:t>
            </w:r>
          </w:p>
        </w:tc>
        <w:tc>
          <w:tcPr>
            <w:tcW w:type="dxa" w:w="4320"/>
            <w:shd w:val="clear" w:color="auto" w:fill="F2F5F8"/>
            <w:tcMar>
              <w:top w:w="100" w:type="dxa"/>
              <w:bottom w:w="100" w:type="dxa"/>
              <w:left w:w="150" w:type="dxa"/>
              <w:right w:w="150" w:type="dxa"/>
            </w:tcMar>
          </w:tcPr>
          <w:p>
            <w:pPr>
              <w:spacing w:before="60" w:after="60"/>
            </w:pPr>
            <w:r>
              <w:rPr>
                <w:rFonts w:ascii="Arial" w:hAnsi="Arial"/>
                <w:color w:val="323232"/>
                <w:sz w:val="19"/>
              </w:rPr>
              <w:t>Внутрішня змінна нитки, що вказує її унікальний індекс у поточному блоці обчислень. / Built-in variable representing the unique thread index inside a block.</w:t>
            </w:r>
          </w:p>
        </w:tc>
      </w:tr>
    </w:tbl>
    <w:p>
      <w:pPr>
        <w:spacing w:before="160"/>
      </w:pPr>
    </w:p>
    <w:p>
      <w:r>
        <w:br w:type="page"/>
      </w:r>
    </w:p>
    <w:p>
      <w:pPr>
        <w:pStyle w:val="Heading1"/>
        <w:keepNext/>
        <w:spacing w:before="360" w:after="120"/>
      </w:pPr>
      <w:r>
        <w:rPr>
          <w:rFonts w:ascii="Arial" w:hAnsi="Arial"/>
          <w:b/>
          <w:color w:val="1F497D"/>
          <w:sz w:val="32"/>
        </w:rPr>
        <w:t>4. БЕЗПЕКА ТА ПЛАНУВАННЯ (BORROW CHECKER ТА PREEMPTION)</w:t>
      </w:r>
      <w:r>
        <w:rPr>
          <w:rFonts w:ascii="Arial" w:hAnsi="Arial"/>
          <w:color w:val="808080"/>
          <w:sz w:val="32"/>
        </w:rPr>
        <w:t xml:space="preserve"> / </w:t>
      </w:r>
      <w:r>
        <w:rPr>
          <w:rFonts w:ascii="Arial" w:hAnsi="Arial"/>
          <w:b/>
          <w:color w:val="1F497D"/>
          <w:sz w:val="32"/>
        </w:rPr>
        <w:t>4. STATIC ANALYSIS &amp; PREEMPTIVE SCHEDULING</w:t>
      </w:r>
    </w:p>
    <w:p>
      <w:r>
        <w:rPr>
          <w:rFonts w:ascii="Arial" w:hAnsi="Arial"/>
        </w:rPr>
        <w:t>Для запобігання поширеним помилкам розробки та забезпечення стабільності, ParaLang використовує два інтелектуальні підсистеми захисту:</w:t>
      </w:r>
    </w:p>
    <w:p>
      <w:pPr>
        <w:pStyle w:val="Heading2"/>
        <w:keepNext/>
        <w:spacing w:before="240" w:after="120"/>
      </w:pPr>
      <w:r>
        <w:rPr>
          <w:rFonts w:ascii="Arial" w:hAnsi="Arial"/>
          <w:b/>
          <w:color w:val="2F5496"/>
          <w:sz w:val="26"/>
        </w:rPr>
        <w:t>1. Спрощений аналізатор запозичень (Borrow Checker Lite)</w:t>
      </w:r>
      <w:r>
        <w:rPr>
          <w:rFonts w:ascii="Arial" w:hAnsi="Arial"/>
          <w:color w:val="808080"/>
          <w:sz w:val="26"/>
        </w:rPr>
        <w:t xml:space="preserve"> / </w:t>
      </w:r>
      <w:r>
        <w:rPr>
          <w:rFonts w:ascii="Arial" w:hAnsi="Arial"/>
          <w:b/>
          <w:color w:val="2F5496"/>
          <w:sz w:val="26"/>
        </w:rPr>
        <w:t>1. Rust-style Borrow Checker Lite</w:t>
      </w:r>
    </w:p>
    <w:p>
      <w:r>
        <w:rPr>
          <w:rFonts w:ascii="Arial" w:hAnsi="Arial"/>
        </w:rPr>
        <w:t>Перед початком інтерпретації статичний аналізатор аналізує синтаксичне дерево (AST) вашого коду. Якщо він знаходить спробу одночасно писати у спільну змінну з кількох паралельних ниток або циклів `pfor` без використання конструкцій синхронізації (`omp_atomic` чи `critical`), компілятор зупинить виконання з детальним описом потенційного стану перегонів. Це виховує у студентів культуру проектування безпечного коду.</w:t>
      </w:r>
    </w:p>
    <w:p>
      <w:pPr>
        <w:pStyle w:val="Heading2"/>
        <w:keepNext/>
        <w:spacing w:before="240" w:after="120"/>
      </w:pPr>
      <w:r>
        <w:rPr>
          <w:rFonts w:ascii="Arial" w:hAnsi="Arial"/>
          <w:b/>
          <w:color w:val="2F5496"/>
          <w:sz w:val="26"/>
        </w:rPr>
        <w:t>2. Витісняючий планувальник (Preemptive Scheduler)</w:t>
      </w:r>
      <w:r>
        <w:rPr>
          <w:rFonts w:ascii="Arial" w:hAnsi="Arial"/>
          <w:color w:val="808080"/>
          <w:sz w:val="26"/>
        </w:rPr>
        <w:t xml:space="preserve"> / </w:t>
      </w:r>
      <w:r>
        <w:rPr>
          <w:rFonts w:ascii="Arial" w:hAnsi="Arial"/>
          <w:b/>
          <w:color w:val="2F5496"/>
          <w:sz w:val="26"/>
        </w:rPr>
        <w:t>2. Erlang-style Preemptive Scheduler</w:t>
      </w:r>
    </w:p>
    <w:p>
      <w:r>
        <w:rPr>
          <w:rFonts w:ascii="Arial" w:hAnsi="Arial"/>
        </w:rPr>
        <w:t>На відміну від кооперативних систем, де довгий безкінечний цикл в одному потоці може заблокувати весь додаток, планувальник ParaLang працює за принципом підрахунку редукцій (інструкцій). Після кожних 100 виконаних операцій потік примусово зупиняється планувальником, щоб дати можливість іншим конкурентним потокам виконати свою роботу. Це забезпечує передбачуваний час відгуку системи (Soft Real-Time).</w:t>
      </w:r>
    </w:p>
    <w:p>
      <w:pPr>
        <w:pStyle w:val="Heading1"/>
        <w:keepNext/>
        <w:spacing w:before="360" w:after="120"/>
      </w:pPr>
      <w:r>
        <w:rPr>
          <w:rFonts w:ascii="Arial" w:hAnsi="Arial"/>
          <w:b/>
          <w:color w:val="1F497D"/>
          <w:sz w:val="32"/>
        </w:rPr>
        <w:t>5. ТРАНСЛЯЦІЯ КОДУ (TRANSPILATION TO C++ &amp; GO)</w:t>
      </w:r>
      <w:r>
        <w:rPr>
          <w:rFonts w:ascii="Arial" w:hAnsi="Arial"/>
          <w:color w:val="808080"/>
          <w:sz w:val="32"/>
        </w:rPr>
        <w:t xml:space="preserve"> / </w:t>
      </w:r>
      <w:r>
        <w:rPr>
          <w:rFonts w:ascii="Arial" w:hAnsi="Arial"/>
          <w:b/>
          <w:color w:val="1F497D"/>
          <w:sz w:val="32"/>
        </w:rPr>
        <w:t>5. NATIVE TRANSPILATION BRIDGES</w:t>
      </w:r>
    </w:p>
    <w:p>
      <w:r>
        <w:rPr>
          <w:rFonts w:ascii="Arial" w:hAnsi="Arial"/>
        </w:rPr>
        <w:t>З метою поєднання теоретичного навчання з промисловими стандартами, ParaLang має вбудовані функції трансляції коду. Вони дозволяють перетворити ваш навчальний код на справжній промисловий код:</w:t>
      </w:r>
    </w:p>
    <w:p>
      <w:pPr>
        <w:pStyle w:val="ListBullet"/>
      </w:pPr>
      <w:r>
        <w:rPr>
          <w:b/>
        </w:rPr>
        <w:t xml:space="preserve">to_cpp(code_str): </w:t>
      </w:r>
      <w:r>
        <w:t>автоматично генерує нативний код на C++ з підключенням реальних заголовків &lt;thread&gt;, &lt;mutex&gt; та директив OpenMP (#pragma omp parallel for).</w:t>
      </w:r>
    </w:p>
    <w:p>
      <w:pPr>
        <w:pStyle w:val="ListBullet"/>
      </w:pPr>
      <w:r>
        <w:rPr>
          <w:b/>
        </w:rPr>
        <w:t xml:space="preserve">to_go(code_str): </w:t>
      </w:r>
      <w:r>
        <w:t>генерує промисловий код на Go з використанням справжніх горутин, каналів та синхронізаторів sync.Mutex.</w:t>
      </w:r>
    </w:p>
    <w:p>
      <w:pPr>
        <w:spacing w:before="120" w:after="120"/>
        <w:ind w:left="576" w:right="576"/>
        <w:pBdr>
          <w:top w:val="single" w:sz="4" w:space="6" w:color="D3D3D3"/>
          <w:left w:val="single" w:sz="4" w:space="6" w:color="D3D3D3"/>
          <w:bottom w:val="single" w:sz="4" w:space="6" w:color="D3D3D3"/>
          <w:right w:val="single" w:sz="4" w:space="6" w:color="D3D3D3"/>
        </w:pBdr>
        <w:shd w:fill="F8F9FA"/>
      </w:pPr>
      <w:r>
        <w:rPr>
          <w:rFonts w:ascii="Consolas" w:hAnsi="Consolas"/>
          <w:color w:val="282828"/>
          <w:sz w:val="19"/>
        </w:rPr>
        <w:t>// Симуляція та тестування транслятора</w:t>
        <w:br/>
        <w:t>run_transpiler_demo();</w:t>
      </w:r>
    </w:p>
    <w:p>
      <w:pPr>
        <w:pStyle w:val="Heading1"/>
        <w:keepNext/>
        <w:spacing w:before="360" w:after="120"/>
      </w:pPr>
      <w:r>
        <w:rPr>
          <w:rFonts w:ascii="Arial" w:hAnsi="Arial"/>
          <w:b/>
          <w:color w:val="1F497D"/>
          <w:sz w:val="32"/>
        </w:rPr>
        <w:t>6. КОМПЛЕКСНІ ПРАКТИЧНІ ПРИКЛАДИ КОДУ</w:t>
      </w:r>
      <w:r>
        <w:rPr>
          <w:rFonts w:ascii="Arial" w:hAnsi="Arial"/>
          <w:color w:val="808080"/>
          <w:sz w:val="32"/>
        </w:rPr>
        <w:t xml:space="preserve"> / </w:t>
      </w:r>
      <w:r>
        <w:rPr>
          <w:rFonts w:ascii="Arial" w:hAnsi="Arial"/>
          <w:b/>
          <w:color w:val="1F497D"/>
          <w:sz w:val="32"/>
        </w:rPr>
        <w:t>6. COMPREHENSIVE PRACTICAL CODE EXAMPLES</w:t>
      </w:r>
    </w:p>
    <w:p>
      <w:pPr>
        <w:pStyle w:val="Heading2"/>
        <w:keepNext/>
        <w:spacing w:before="240" w:after="120"/>
      </w:pPr>
      <w:r>
        <w:rPr>
          <w:rFonts w:ascii="Arial" w:hAnsi="Arial"/>
          <w:b/>
          <w:color w:val="2F5496"/>
          <w:sz w:val="26"/>
        </w:rPr>
        <w:t>Приклад 1: Обчислення Pi методом Монте-Карло (OpenMP pfor + atomic)</w:t>
      </w:r>
      <w:r>
        <w:rPr>
          <w:rFonts w:ascii="Arial" w:hAnsi="Arial"/>
          <w:color w:val="808080"/>
          <w:sz w:val="26"/>
        </w:rPr>
        <w:t xml:space="preserve"> / </w:t>
      </w:r>
      <w:r>
        <w:rPr>
          <w:rFonts w:ascii="Arial" w:hAnsi="Arial"/>
          <w:b/>
          <w:color w:val="2F5496"/>
          <w:sz w:val="26"/>
        </w:rPr>
        <w:t>Example 1: Monte Carlo Pi Estimation</w:t>
      </w:r>
    </w:p>
    <w:p>
      <w:pPr>
        <w:spacing w:before="120" w:after="120"/>
        <w:ind w:left="576" w:right="576"/>
        <w:pBdr>
          <w:top w:val="single" w:sz="4" w:space="6" w:color="D3D3D3"/>
          <w:left w:val="single" w:sz="4" w:space="6" w:color="D3D3D3"/>
          <w:bottom w:val="single" w:sz="4" w:space="6" w:color="D3D3D3"/>
          <w:right w:val="single" w:sz="4" w:space="6" w:color="D3D3D3"/>
        </w:pBdr>
        <w:shd w:fill="F8F9FA"/>
      </w:pPr>
      <w:r>
        <w:rPr>
          <w:rFonts w:ascii="Consolas" w:hAnsi="Consolas"/>
          <w:color w:val="282828"/>
          <w:sz w:val="19"/>
        </w:rPr>
        <w:t>// ParaLang code for Monte Carlo Pi calculation</w:t>
        <w:br/>
        <w:t>points_inside = 0;</w:t>
        <w:br/>
        <w:t>total_points = 100000;</w:t>
        <w:br/>
        <w:br/>
        <w:t>pfor i = 1 to total_points {</w:t>
        <w:br/>
        <w:t xml:space="preserve">    // Симуляція випадкових координат x, y від 0 до 1</w:t>
        <w:br/>
        <w:t xml:space="preserve">    x = random(); </w:t>
        <w:br/>
        <w:t xml:space="preserve">    y = random();</w:t>
        <w:br/>
        <w:t xml:space="preserve">    </w:t>
        <w:br/>
        <w:t xml:space="preserve">    dist = x*x + y*y;</w:t>
        <w:br/>
        <w:t xml:space="preserve">    if dist &lt;= 1.0 {</w:t>
        <w:br/>
        <w:t xml:space="preserve">        omp_atomic {</w:t>
        <w:br/>
        <w:t xml:space="preserve">            points_inside = points_inside + 1;</w:t>
        <w:br/>
        <w:t xml:space="preserve">        }</w:t>
        <w:br/>
        <w:t xml:space="preserve">    }</w:t>
        <w:br/>
        <w:t>}</w:t>
        <w:br/>
        <w:br/>
        <w:t>pi = 4.0 * points_inside / total_points;</w:t>
        <w:br/>
        <w:t>print("Estimated Pi value:", pi);</w:t>
      </w:r>
    </w:p>
    <w:p>
      <w:pPr>
        <w:pStyle w:val="Heading2"/>
        <w:keepNext/>
        <w:spacing w:before="240" w:after="120"/>
      </w:pPr>
      <w:r>
        <w:rPr>
          <w:rFonts w:ascii="Arial" w:hAnsi="Arial"/>
          <w:b/>
          <w:color w:val="2F5496"/>
          <w:sz w:val="26"/>
        </w:rPr>
        <w:t>Приклад 2: Передача повідомлень через буферизований канал (CSP)</w:t>
      </w:r>
      <w:r>
        <w:rPr>
          <w:rFonts w:ascii="Arial" w:hAnsi="Arial"/>
          <w:color w:val="808080"/>
          <w:sz w:val="26"/>
        </w:rPr>
        <w:t xml:space="preserve"> / </w:t>
      </w:r>
      <w:r>
        <w:rPr>
          <w:rFonts w:ascii="Arial" w:hAnsi="Arial"/>
          <w:b/>
          <w:color w:val="2F5496"/>
          <w:sz w:val="26"/>
        </w:rPr>
        <w:t>Example 2: Channel Message Passing (CSP)</w:t>
      </w:r>
    </w:p>
    <w:p>
      <w:pPr>
        <w:spacing w:before="120" w:after="120"/>
        <w:ind w:left="576" w:right="576"/>
        <w:pBdr>
          <w:top w:val="single" w:sz="4" w:space="6" w:color="D3D3D3"/>
          <w:left w:val="single" w:sz="4" w:space="6" w:color="D3D3D3"/>
          <w:bottom w:val="single" w:sz="4" w:space="6" w:color="D3D3D3"/>
          <w:right w:val="single" w:sz="4" w:space="6" w:color="D3D3D3"/>
        </w:pBdr>
        <w:shd w:fill="F8F9FA"/>
      </w:pPr>
      <w:r>
        <w:rPr>
          <w:rFonts w:ascii="Consolas" w:hAnsi="Consolas"/>
          <w:color w:val="282828"/>
          <w:sz w:val="19"/>
        </w:rPr>
        <w:t>// Створення каналу ємністю 2 повідомлення</w:t>
        <w:br/>
        <w:t>data_chan = channel(2);</w:t>
        <w:br/>
        <w:br/>
        <w:t>spawn {</w:t>
        <w:br/>
        <w:t xml:space="preserve">    val = &lt;- data_chan; // Блокується до появи даних</w:t>
        <w:br/>
        <w:t xml:space="preserve">    print("Background worker received:", val);</w:t>
        <w:br/>
        <w:t>}</w:t>
        <w:br/>
        <w:br/>
        <w:t>data_chan &lt;- 100; // Відправка в канал</w:t>
        <w:br/>
        <w:t>trace(data_chan); // Інтерактивний вивід черги каналу для аналізу</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808080"/>
        <w:sz w:val="18"/>
      </w:rPr>
      <w:t xml:space="preserve">ParaLang v26 Reference Manual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