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18375A"/>
            <w:tcMar>
              <w:top w:w="85" w:type="dxa"/>
              <w:start w:w="120" w:type="dxa"/>
              <w:bottom w:w="85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32"/>
              </w:rPr>
              <w:t>SPECIALIST HEADACHE CLINIC LETTER</w:t>
            </w:r>
          </w:p>
        </w:tc>
      </w:tr>
      <w:tr>
        <w:tc>
          <w:tcPr>
            <w:tcW w:type="dxa" w:w="10426"/>
            <w:shd w:fill="EEF3F8"/>
            <w:tcMar>
              <w:top w:w="60" w:type="dxa"/>
              <w:start w:w="120" w:type="dxa"/>
              <w:bottom w:w="60" w:type="dxa"/>
              <w:end w:w="12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i w:val="0"/>
                <w:color w:val="18375A"/>
                <w:sz w:val="20"/>
              </w:rPr>
              <w:t>A polished template for initial and follow-up headache consultations</w:t>
            </w:r>
          </w:p>
        </w:tc>
      </w:tr>
    </w:tbl>
    <w:p>
      <w:pPr>
        <w:spacing w:after="80"/>
      </w:pPr>
      <w:r>
        <w:rPr>
          <w:rFonts w:ascii="Arial" w:hAnsi="Arial"/>
          <w:b w:val="0"/>
          <w:i w:val="0"/>
          <w:color w:val="585858"/>
          <w:sz w:val="18"/>
        </w:rPr>
        <w:t>Use this structure to produce clear, medicolegally robust, and GP-friendly headache correspondence.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DDEBF7"/>
            <w:tcMar>
              <w:top w:w="45" w:type="dxa"/>
              <w:start w:w="95" w:type="dxa"/>
              <w:bottom w:w="4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375A"/>
                <w:sz w:val="20"/>
              </w:rPr>
              <w:t xml:space="preserve">1. </w:t>
            </w:r>
            <w:r>
              <w:rPr>
                <w:rFonts w:ascii="Arial" w:hAnsi="Arial"/>
                <w:b/>
                <w:i w:val="0"/>
                <w:color w:val="18375A"/>
                <w:sz w:val="20"/>
              </w:rPr>
              <w:t>Patient details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1757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AF0F6"/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Patient name</w:t>
            </w:r>
          </w:p>
        </w:tc>
        <w:tc>
          <w:tcPr>
            <w:tcW w:type="dxa" w:w="2948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[Insert full name]</w:t>
            </w:r>
          </w:p>
        </w:tc>
        <w:tc>
          <w:tcPr>
            <w:tcW w:type="dxa" w:w="1701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AF0F6"/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NHS / Hospital no.</w:t>
            </w:r>
          </w:p>
        </w:tc>
        <w:tc>
          <w:tcPr>
            <w:tcW w:type="dxa" w:w="2835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[Insert identifier]</w:t>
            </w:r>
          </w:p>
        </w:tc>
      </w:tr>
      <w:tr>
        <w:tc>
          <w:tcPr>
            <w:tcW w:type="dxa" w:w="1757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AF0F6"/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Date of birth</w:t>
            </w:r>
          </w:p>
        </w:tc>
        <w:tc>
          <w:tcPr>
            <w:tcW w:type="dxa" w:w="2948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[DD/MM/YYYY]</w:t>
            </w:r>
          </w:p>
        </w:tc>
        <w:tc>
          <w:tcPr>
            <w:tcW w:type="dxa" w:w="1701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AF0F6"/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Clinic date</w:t>
            </w:r>
          </w:p>
        </w:tc>
        <w:tc>
          <w:tcPr>
            <w:tcW w:type="dxa" w:w="2835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[DD/MM/YYYY]</w:t>
            </w:r>
          </w:p>
        </w:tc>
      </w:tr>
      <w:tr>
        <w:tc>
          <w:tcPr>
            <w:tcW w:type="dxa" w:w="1757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AF0F6"/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Address</w:t>
            </w:r>
          </w:p>
        </w:tc>
        <w:tc>
          <w:tcPr>
            <w:tcW w:type="dxa" w:w="2948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[Insert address]</w:t>
            </w:r>
          </w:p>
        </w:tc>
        <w:tc>
          <w:tcPr>
            <w:tcW w:type="dxa" w:w="1701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AF0F6"/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Referrer / GP</w:t>
            </w:r>
          </w:p>
        </w:tc>
        <w:tc>
          <w:tcPr>
            <w:tcW w:type="dxa" w:w="2835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[Insert referring clinician]</w:t>
            </w:r>
          </w:p>
        </w:tc>
      </w:tr>
      <w:tr>
        <w:tc>
          <w:tcPr>
            <w:tcW w:type="dxa" w:w="1757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AF0F6"/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Consultant / Clinician</w:t>
            </w:r>
          </w:p>
        </w:tc>
        <w:tc>
          <w:tcPr>
            <w:tcW w:type="dxa" w:w="2948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[Insert clinician name]</w:t>
            </w:r>
          </w:p>
        </w:tc>
        <w:tc>
          <w:tcPr>
            <w:tcW w:type="dxa" w:w="1701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AF0F6"/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Clinic type</w:t>
            </w:r>
          </w:p>
        </w:tc>
        <w:tc>
          <w:tcPr>
            <w:tcW w:type="dxa" w:w="2835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[New / Follow-up / Virtual / Face-to-face]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DDEBF7"/>
            <w:tcMar>
              <w:top w:w="45" w:type="dxa"/>
              <w:start w:w="95" w:type="dxa"/>
              <w:bottom w:w="4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375A"/>
                <w:sz w:val="20"/>
              </w:rPr>
              <w:t xml:space="preserve">2. </w:t>
            </w:r>
            <w:r>
              <w:rPr>
                <w:rFonts w:ascii="Arial" w:hAnsi="Arial"/>
                <w:b/>
                <w:i w:val="0"/>
                <w:color w:val="18375A"/>
                <w:sz w:val="20"/>
              </w:rPr>
              <w:t>Working diagnosis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9"/>
              </w:rPr>
              <w:t>[Primary working diagnosis, differential diagnoses, phenotype, and degree of diagnostic certainty]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DDEBF7"/>
            <w:tcMar>
              <w:top w:w="45" w:type="dxa"/>
              <w:start w:w="95" w:type="dxa"/>
              <w:bottom w:w="4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375A"/>
                <w:sz w:val="20"/>
              </w:rPr>
              <w:t xml:space="preserve">3. </w:t>
            </w:r>
            <w:r>
              <w:rPr>
                <w:rFonts w:ascii="Arial" w:hAnsi="Arial"/>
                <w:b/>
                <w:i w:val="0"/>
                <w:color w:val="18375A"/>
                <w:sz w:val="20"/>
              </w:rPr>
              <w:t>Past medical history and relevant background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Past medical history</w:t>
              <w:br/>
            </w:r>
            <w:r>
              <w:rPr>
                <w:rFonts w:ascii="Arial" w:hAnsi="Arial"/>
                <w:b w:val="0"/>
                <w:i/>
                <w:color w:val="585858"/>
                <w:sz w:val="18"/>
              </w:rPr>
              <w:t>[List relevant comorbidities, prior headache diagnoses, vascular risk factors, sleep history, mental health history, family history, occupation, smoking/alcohol, and trigger context]</w:t>
            </w:r>
          </w:p>
        </w:tc>
        <w:tc>
          <w:tcPr>
            <w:tcW w:type="dxa" w:w="470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Relevant background / family / social factors</w:t>
              <w:br/>
            </w:r>
            <w:r>
              <w:rPr>
                <w:rFonts w:ascii="Arial" w:hAnsi="Arial"/>
                <w:b w:val="0"/>
                <w:i/>
                <w:color w:val="585858"/>
                <w:sz w:val="18"/>
              </w:rPr>
              <w:t>[List relevant comorbidities, prior headache diagnoses, vascular risk factors, sleep history, mental health history, family history, occupation, smoking/alcohol, and trigger context]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DDEBF7"/>
            <w:tcMar>
              <w:top w:w="45" w:type="dxa"/>
              <w:start w:w="95" w:type="dxa"/>
              <w:bottom w:w="4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375A"/>
                <w:sz w:val="20"/>
              </w:rPr>
              <w:t xml:space="preserve">4. </w:t>
            </w:r>
            <w:r>
              <w:rPr>
                <w:rFonts w:ascii="Arial" w:hAnsi="Arial"/>
                <w:b/>
                <w:i w:val="0"/>
                <w:color w:val="18375A"/>
                <w:sz w:val="20"/>
              </w:rPr>
              <w:t>Current medication and allergy status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494"/>
            <w:shd w:fill="EAF0F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8375A"/>
                <w:sz w:val="17"/>
              </w:rPr>
              <w:t>Medication</w:t>
            </w:r>
          </w:p>
        </w:tc>
        <w:tc>
          <w:tcPr>
            <w:tcW w:type="dxa" w:w="3402"/>
            <w:shd w:fill="EAF0F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8375A"/>
                <w:sz w:val="17"/>
              </w:rPr>
              <w:t>Dose / frequency /</w:t>
              <w:br/>
              <w:t>indication</w:t>
            </w:r>
          </w:p>
        </w:tc>
        <w:tc>
          <w:tcPr>
            <w:tcW w:type="dxa" w:w="1701"/>
            <w:shd w:fill="EAF0F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8375A"/>
                <w:sz w:val="17"/>
              </w:rPr>
              <w:t>Benefit / tolerance</w:t>
            </w:r>
          </w:p>
        </w:tc>
        <w:tc>
          <w:tcPr>
            <w:tcW w:type="dxa" w:w="1701"/>
            <w:shd w:fill="EAF0F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8375A"/>
                <w:sz w:val="17"/>
              </w:rPr>
              <w:t>Overuse risk</w:t>
            </w:r>
          </w:p>
        </w:tc>
      </w:tr>
      <w:tr>
        <w:tc>
          <w:tcPr>
            <w:tcW w:type="dxa" w:w="249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[Drug name]</w:t>
            </w:r>
          </w:p>
        </w:tc>
        <w:tc>
          <w:tcPr>
            <w:tcW w:type="dxa" w:w="340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[Dose / route / frequency /</w:t>
              <w:br/>
              <w:t>reason]</w:t>
            </w:r>
          </w:p>
        </w:tc>
        <w:tc>
          <w:tcPr>
            <w:tcW w:type="dxa" w:w="1701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[Effective / ineffective /</w:t>
              <w:br/>
              <w:t>side effects]</w:t>
            </w:r>
          </w:p>
        </w:tc>
        <w:tc>
          <w:tcPr>
            <w:tcW w:type="dxa" w:w="1701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[Yes / No / uncertain]</w:t>
            </w:r>
          </w:p>
        </w:tc>
      </w:tr>
      <w:tr>
        <w:tc>
          <w:tcPr>
            <w:tcW w:type="dxa" w:w="249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[Drug name]</w:t>
            </w:r>
          </w:p>
        </w:tc>
        <w:tc>
          <w:tcPr>
            <w:tcW w:type="dxa" w:w="340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[Dose / route / frequency /</w:t>
              <w:br/>
              <w:t>reason]</w:t>
            </w:r>
          </w:p>
        </w:tc>
        <w:tc>
          <w:tcPr>
            <w:tcW w:type="dxa" w:w="1701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[Effective / ineffective /</w:t>
              <w:br/>
              <w:t>side effects]</w:t>
            </w:r>
          </w:p>
        </w:tc>
        <w:tc>
          <w:tcPr>
            <w:tcW w:type="dxa" w:w="1701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[Yes / No / uncertain]</w:t>
            </w:r>
          </w:p>
        </w:tc>
      </w:tr>
      <w:tr>
        <w:tc>
          <w:tcPr>
            <w:tcW w:type="dxa" w:w="2494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[Drug name]</w:t>
            </w:r>
          </w:p>
        </w:tc>
        <w:tc>
          <w:tcPr>
            <w:tcW w:type="dxa" w:w="3402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[Dose / route / frequency /</w:t>
              <w:br/>
              <w:t>reason]</w:t>
            </w:r>
          </w:p>
        </w:tc>
        <w:tc>
          <w:tcPr>
            <w:tcW w:type="dxa" w:w="1701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[Effective / ineffective /</w:t>
              <w:br/>
              <w:t>side effects]</w:t>
            </w:r>
          </w:p>
        </w:tc>
        <w:tc>
          <w:tcPr>
            <w:tcW w:type="dxa" w:w="1701"/>
            <w:tcMar>
              <w:top w:w="50" w:type="dxa"/>
              <w:start w:w="80" w:type="dxa"/>
              <w:bottom w:w="50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[Yes / No / uncertain]</w:t>
            </w:r>
          </w:p>
        </w:tc>
      </w:tr>
    </w:tbl>
    <w:p>
      <w:pPr>
        <w:spacing w:after="60"/>
      </w:pPr>
      <w:r>
        <w:rPr>
          <w:rFonts w:ascii="Arial" w:hAnsi="Arial"/>
          <w:b/>
          <w:i w:val="0"/>
          <w:color w:val="18375A"/>
          <w:sz w:val="18"/>
        </w:rPr>
        <w:t xml:space="preserve">Allergies: </w:t>
      </w:r>
      <w:r>
        <w:rPr>
          <w:rFonts w:ascii="Arial" w:hAnsi="Arial"/>
          <w:b w:val="0"/>
          <w:i/>
          <w:color w:val="585858"/>
          <w:sz w:val="18"/>
        </w:rPr>
        <w:t>[Document drug allergies and adverse reactions]</w:t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DDEBF7"/>
            <w:tcMar>
              <w:top w:w="45" w:type="dxa"/>
              <w:start w:w="95" w:type="dxa"/>
              <w:bottom w:w="4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375A"/>
                <w:sz w:val="20"/>
              </w:rPr>
              <w:t xml:space="preserve">5. </w:t>
            </w:r>
            <w:r>
              <w:rPr>
                <w:rFonts w:ascii="Arial" w:hAnsi="Arial"/>
                <w:b/>
                <w:i w:val="0"/>
                <w:color w:val="18375A"/>
                <w:sz w:val="20"/>
              </w:rPr>
              <w:t>Presenting symptoms and clinical analysis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20"/>
              <w:ind w:left="125"/>
            </w:pPr>
            <w:r>
              <w:rPr>
                <w:rFonts w:ascii="Arial" w:hAnsi="Arial"/>
                <w:b/>
                <w:i w:val="0"/>
                <w:color w:val="18375A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/>
                <w:color w:val="585858"/>
                <w:sz w:val="18"/>
              </w:rPr>
              <w:t>[Headache onset, temporal profile, frequency, duration, location, severity, quality, and associated symptoms]</w:t>
            </w:r>
          </w:p>
          <w:p>
            <w:pPr>
              <w:spacing w:after="20"/>
              <w:ind w:left="125"/>
            </w:pPr>
            <w:r>
              <w:rPr>
                <w:rFonts w:ascii="Arial" w:hAnsi="Arial"/>
                <w:b/>
                <w:i w:val="0"/>
                <w:color w:val="18375A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/>
                <w:color w:val="585858"/>
                <w:sz w:val="18"/>
              </w:rPr>
              <w:t>[Aura, cranial autonomic symptoms, neck pain, positional features, exertional/Valsalva relationship, sleep association]</w:t>
            </w:r>
          </w:p>
          <w:p>
            <w:pPr>
              <w:spacing w:after="20"/>
              <w:ind w:left="125"/>
            </w:pPr>
            <w:r>
              <w:rPr>
                <w:rFonts w:ascii="Arial" w:hAnsi="Arial"/>
                <w:b/>
                <w:i w:val="0"/>
                <w:color w:val="18375A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/>
                <w:color w:val="585858"/>
                <w:sz w:val="18"/>
              </w:rPr>
              <w:t>[Triggering and relieving factors, medication response, disability, and effect on work / driving / quality of life]</w:t>
            </w:r>
          </w:p>
          <w:p>
            <w:pPr>
              <w:spacing w:after="20"/>
              <w:ind w:left="125"/>
            </w:pPr>
            <w:r>
              <w:rPr>
                <w:rFonts w:ascii="Arial" w:hAnsi="Arial"/>
                <w:b/>
                <w:i w:val="0"/>
                <w:color w:val="18375A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/>
                <w:color w:val="585858"/>
                <w:sz w:val="18"/>
              </w:rPr>
              <w:t>[Clinical reasoning: phenotype, likely primary or secondary headache mechanism, differential diagnosis, and justification]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DDEBF7"/>
            <w:tcMar>
              <w:top w:w="45" w:type="dxa"/>
              <w:start w:w="95" w:type="dxa"/>
              <w:bottom w:w="4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375A"/>
                <w:sz w:val="20"/>
              </w:rPr>
              <w:t xml:space="preserve">6. </w:t>
            </w:r>
            <w:r>
              <w:rPr>
                <w:rFonts w:ascii="Arial" w:hAnsi="Arial"/>
                <w:b/>
                <w:i w:val="0"/>
                <w:color w:val="18375A"/>
                <w:sz w:val="20"/>
              </w:rPr>
              <w:t>Clinical examination findings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948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AF0F6"/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General / observations</w:t>
            </w:r>
          </w:p>
        </w:tc>
        <w:tc>
          <w:tcPr>
            <w:tcW w:type="dxa" w:w="6293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[Blood pressure, pulse, BMI, appearance, distress level, fever, relevant systemic observations]</w:t>
            </w:r>
          </w:p>
        </w:tc>
      </w:tr>
      <w:tr>
        <w:tc>
          <w:tcPr>
            <w:tcW w:type="dxa" w:w="2948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AF0F6"/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Neurological / cranial</w:t>
            </w:r>
          </w:p>
        </w:tc>
        <w:tc>
          <w:tcPr>
            <w:tcW w:type="dxa" w:w="6293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[Fundoscopy, visual fields, cranial nerves, focal deficits, gait, cerebellar signs, neck signs]</w:t>
            </w:r>
          </w:p>
        </w:tc>
      </w:tr>
      <w:tr>
        <w:tc>
          <w:tcPr>
            <w:tcW w:type="dxa" w:w="2948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EAF0F6"/>
          </w:tcPr>
          <w:p>
            <w:r>
              <w:rPr>
                <w:rFonts w:ascii="Arial" w:hAnsi="Arial"/>
                <w:b/>
                <w:i w:val="0"/>
                <w:color w:val="18375A"/>
                <w:sz w:val="18"/>
              </w:rPr>
              <w:t>Head and neck / other</w:t>
            </w:r>
          </w:p>
        </w:tc>
        <w:tc>
          <w:tcPr>
            <w:tcW w:type="dxa" w:w="6293"/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[Temporal arteries, TMJ, sinus tenderness, cervical tenderness, autonomic signs, red eye, scalp tenderness]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DDEBF7"/>
            <w:tcMar>
              <w:top w:w="45" w:type="dxa"/>
              <w:start w:w="95" w:type="dxa"/>
              <w:bottom w:w="4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375A"/>
                <w:sz w:val="20"/>
              </w:rPr>
              <w:t xml:space="preserve">7. </w:t>
            </w:r>
            <w:r>
              <w:rPr>
                <w:rFonts w:ascii="Arial" w:hAnsi="Arial"/>
                <w:b/>
                <w:i w:val="0"/>
                <w:color w:val="18375A"/>
                <w:sz w:val="20"/>
              </w:rPr>
              <w:t>Investigations ordered / pending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[List any requested investigations such as MRI brain, MRV/CTA, pituitary imaging, ESR/CRP, ophthalmology review, lumbar puncture, sleep study, or headache diary]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DDEBF7"/>
            <w:tcMar>
              <w:top w:w="45" w:type="dxa"/>
              <w:start w:w="95" w:type="dxa"/>
              <w:bottom w:w="4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375A"/>
                <w:sz w:val="20"/>
              </w:rPr>
              <w:t xml:space="preserve">8. </w:t>
            </w:r>
            <w:r>
              <w:rPr>
                <w:rFonts w:ascii="Arial" w:hAnsi="Arial"/>
                <w:b/>
                <w:i w:val="0"/>
                <w:color w:val="18375A"/>
                <w:sz w:val="20"/>
              </w:rPr>
              <w:t>Results review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2494"/>
            <w:shd w:fill="EAF0F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8375A"/>
                <w:sz w:val="17"/>
              </w:rPr>
              <w:t>Investigation</w:t>
            </w:r>
          </w:p>
        </w:tc>
        <w:tc>
          <w:tcPr>
            <w:tcW w:type="dxa" w:w="2041"/>
            <w:shd w:fill="EAF0F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8375A"/>
                <w:sz w:val="17"/>
              </w:rPr>
              <w:t>Date</w:t>
            </w:r>
          </w:p>
        </w:tc>
        <w:tc>
          <w:tcPr>
            <w:tcW w:type="dxa" w:w="4706"/>
            <w:shd w:fill="EAF0F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8375A"/>
                <w:sz w:val="17"/>
              </w:rPr>
              <w:t>Interpretation / relevance</w:t>
            </w:r>
          </w:p>
        </w:tc>
      </w:tr>
      <w:tr>
        <w:tc>
          <w:tcPr>
            <w:tcW w:type="dxa" w:w="2494"/>
            <w:tcMar>
              <w:top w:w="52" w:type="dxa"/>
              <w:start w:w="80" w:type="dxa"/>
              <w:bottom w:w="52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[Test / scan]</w:t>
            </w:r>
          </w:p>
        </w:tc>
        <w:tc>
          <w:tcPr>
            <w:tcW w:type="dxa" w:w="2041"/>
            <w:tcMar>
              <w:top w:w="52" w:type="dxa"/>
              <w:start w:w="80" w:type="dxa"/>
              <w:bottom w:w="52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[DD/MM/YYYY]</w:t>
            </w:r>
          </w:p>
        </w:tc>
        <w:tc>
          <w:tcPr>
            <w:tcW w:type="dxa" w:w="4706"/>
            <w:tcMar>
              <w:top w:w="52" w:type="dxa"/>
              <w:start w:w="80" w:type="dxa"/>
              <w:bottom w:w="52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[Normal / abnormal result and why it matters for diagnosis or management]</w:t>
            </w:r>
          </w:p>
        </w:tc>
      </w:tr>
      <w:tr>
        <w:tc>
          <w:tcPr>
            <w:tcW w:type="dxa" w:w="2494"/>
            <w:tcMar>
              <w:top w:w="52" w:type="dxa"/>
              <w:start w:w="80" w:type="dxa"/>
              <w:bottom w:w="52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[Test / scan]</w:t>
            </w:r>
          </w:p>
        </w:tc>
        <w:tc>
          <w:tcPr>
            <w:tcW w:type="dxa" w:w="2041"/>
            <w:tcMar>
              <w:top w:w="52" w:type="dxa"/>
              <w:start w:w="80" w:type="dxa"/>
              <w:bottom w:w="52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[DD/MM/YYYY]</w:t>
            </w:r>
          </w:p>
        </w:tc>
        <w:tc>
          <w:tcPr>
            <w:tcW w:type="dxa" w:w="4706"/>
            <w:tcMar>
              <w:top w:w="52" w:type="dxa"/>
              <w:start w:w="80" w:type="dxa"/>
              <w:bottom w:w="52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[Normal / abnormal result and why it matters for diagnosis or management]</w:t>
            </w:r>
          </w:p>
        </w:tc>
      </w:tr>
      <w:tr>
        <w:tc>
          <w:tcPr>
            <w:tcW w:type="dxa" w:w="2494"/>
            <w:tcMar>
              <w:top w:w="52" w:type="dxa"/>
              <w:start w:w="80" w:type="dxa"/>
              <w:bottom w:w="52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[Test / scan]</w:t>
            </w:r>
          </w:p>
        </w:tc>
        <w:tc>
          <w:tcPr>
            <w:tcW w:type="dxa" w:w="2041"/>
            <w:tcMar>
              <w:top w:w="52" w:type="dxa"/>
              <w:start w:w="80" w:type="dxa"/>
              <w:bottom w:w="52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[DD/MM/YYYY]</w:t>
            </w:r>
          </w:p>
        </w:tc>
        <w:tc>
          <w:tcPr>
            <w:tcW w:type="dxa" w:w="4706"/>
            <w:tcMar>
              <w:top w:w="52" w:type="dxa"/>
              <w:start w:w="80" w:type="dxa"/>
              <w:bottom w:w="52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[Normal / abnormal result and why it matters for diagnosis or management]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FCE8E6"/>
            <w:tcMar>
              <w:top w:w="45" w:type="dxa"/>
              <w:start w:w="95" w:type="dxa"/>
              <w:bottom w:w="4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375A"/>
                <w:sz w:val="20"/>
              </w:rPr>
              <w:t xml:space="preserve">9. </w:t>
            </w:r>
            <w:r>
              <w:rPr>
                <w:rFonts w:ascii="Arial" w:hAnsi="Arial"/>
                <w:b/>
                <w:i w:val="0"/>
                <w:color w:val="18375A"/>
                <w:sz w:val="20"/>
              </w:rPr>
              <w:t>Red flag symptoms and signs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4535"/>
            <w:tcMar>
              <w:top w:w="55" w:type="dxa"/>
              <w:start w:w="85" w:type="dxa"/>
              <w:bottom w:w="55" w:type="dxa"/>
              <w:end w:w="85" w:type="dxa"/>
            </w:tcMar>
            <w:shd w:fill="F8D7DA"/>
          </w:tcPr>
          <w:p>
            <w:r>
              <w:rPr>
                <w:rFonts w:ascii="Arial" w:hAnsi="Arial"/>
                <w:b/>
                <w:i w:val="0"/>
                <w:color w:val="7D2020"/>
                <w:sz w:val="18"/>
              </w:rPr>
              <w:t>Present / concerning</w:t>
            </w:r>
          </w:p>
        </w:tc>
        <w:tc>
          <w:tcPr>
            <w:tcW w:type="dxa" w:w="470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[Thunderclap onset, papilloedema, focal neurology, systemic symptoms, jaw claudication, visual obscurations, meningism, immunosuppression, cancer history, pregnancy, positional headache, etc.]</w:t>
            </w:r>
          </w:p>
        </w:tc>
      </w:tr>
      <w:tr>
        <w:tc>
          <w:tcPr>
            <w:tcW w:type="dxa" w:w="4535"/>
            <w:tcMar>
              <w:top w:w="55" w:type="dxa"/>
              <w:start w:w="85" w:type="dxa"/>
              <w:bottom w:w="55" w:type="dxa"/>
              <w:end w:w="85" w:type="dxa"/>
            </w:tcMar>
            <w:shd w:fill="FBEAEC"/>
          </w:tcPr>
          <w:p>
            <w:r>
              <w:rPr>
                <w:rFonts w:ascii="Arial" w:hAnsi="Arial"/>
                <w:b/>
                <w:i w:val="0"/>
                <w:color w:val="7D2020"/>
                <w:sz w:val="18"/>
              </w:rPr>
              <w:t>Absent / specifically screened</w:t>
            </w:r>
          </w:p>
        </w:tc>
        <w:tc>
          <w:tcPr>
            <w:tcW w:type="dxa" w:w="4706"/>
            <w:tcMar>
              <w:top w:w="55" w:type="dxa"/>
              <w:start w:w="85" w:type="dxa"/>
              <w:bottom w:w="55" w:type="dxa"/>
              <w:end w:w="85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[Document key negative red flags relevant to this case to support diagnostic safety and management decisions]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DDEBF7"/>
            <w:tcMar>
              <w:top w:w="45" w:type="dxa"/>
              <w:start w:w="95" w:type="dxa"/>
              <w:bottom w:w="4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375A"/>
                <w:sz w:val="20"/>
              </w:rPr>
              <w:t xml:space="preserve">10. </w:t>
            </w:r>
            <w:r>
              <w:rPr>
                <w:rFonts w:ascii="Arial" w:hAnsi="Arial"/>
                <w:b/>
                <w:i w:val="0"/>
                <w:color w:val="18375A"/>
                <w:sz w:val="20"/>
              </w:rPr>
              <w:t>Management plan and treatment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tcMar>
              <w:top w:w="55" w:type="dxa"/>
              <w:start w:w="90" w:type="dxa"/>
              <w:bottom w:w="55" w:type="dxa"/>
              <w:end w:w="90" w:type="dxa"/>
            </w:tcMar>
          </w:tcPr>
          <w:p>
            <w:pPr>
              <w:spacing w:after="20"/>
              <w:ind w:left="125"/>
            </w:pPr>
            <w:r>
              <w:rPr>
                <w:rFonts w:ascii="Arial" w:hAnsi="Arial"/>
                <w:b/>
                <w:i w:val="0"/>
                <w:color w:val="007891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/>
                <w:color w:val="585858"/>
                <w:sz w:val="18"/>
              </w:rPr>
              <w:t>[Working explanation given to patient and shared decision-making points]</w:t>
            </w:r>
          </w:p>
          <w:p>
            <w:pPr>
              <w:spacing w:after="20"/>
              <w:ind w:left="125"/>
            </w:pPr>
            <w:r>
              <w:rPr>
                <w:rFonts w:ascii="Arial" w:hAnsi="Arial"/>
                <w:b/>
                <w:i w:val="0"/>
                <w:color w:val="007891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/>
                <w:color w:val="585858"/>
                <w:sz w:val="18"/>
              </w:rPr>
              <w:t>[Acute treatment plan and dose limits]</w:t>
            </w:r>
          </w:p>
          <w:p>
            <w:pPr>
              <w:spacing w:after="20"/>
              <w:ind w:left="125"/>
            </w:pPr>
            <w:r>
              <w:rPr>
                <w:rFonts w:ascii="Arial" w:hAnsi="Arial"/>
                <w:b/>
                <w:i w:val="0"/>
                <w:color w:val="007891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/>
                <w:color w:val="585858"/>
                <w:sz w:val="18"/>
              </w:rPr>
              <w:t>[Preventive treatment plan and titration advice]</w:t>
            </w:r>
          </w:p>
          <w:p>
            <w:pPr>
              <w:spacing w:after="20"/>
              <w:ind w:left="125"/>
            </w:pPr>
            <w:r>
              <w:rPr>
                <w:rFonts w:ascii="Arial" w:hAnsi="Arial"/>
                <w:b/>
                <w:i w:val="0"/>
                <w:color w:val="007891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/>
                <w:color w:val="585858"/>
                <w:sz w:val="18"/>
              </w:rPr>
              <w:t>[Investigation plan and referral actions]</w:t>
            </w:r>
          </w:p>
          <w:p>
            <w:pPr>
              <w:spacing w:after="20"/>
              <w:ind w:left="125"/>
            </w:pPr>
            <w:r>
              <w:rPr>
                <w:rFonts w:ascii="Arial" w:hAnsi="Arial"/>
                <w:b/>
                <w:i w:val="0"/>
                <w:color w:val="007891"/>
                <w:sz w:val="19"/>
              </w:rPr>
              <w:t xml:space="preserve">• </w:t>
            </w:r>
            <w:r>
              <w:rPr>
                <w:rFonts w:ascii="Arial" w:hAnsi="Arial"/>
                <w:b w:val="0"/>
                <w:i/>
                <w:color w:val="585858"/>
                <w:sz w:val="18"/>
              </w:rPr>
              <w:t>[Safety-netting advice including emergency escalation criteria]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426"/>
      </w:tblGrid>
      <w:tr>
        <w:tc>
          <w:tcPr>
            <w:tcW w:type="dxa" w:w="10426"/>
            <w:shd w:fill="DDEBF7"/>
            <w:tcMar>
              <w:top w:w="45" w:type="dxa"/>
              <w:start w:w="95" w:type="dxa"/>
              <w:bottom w:w="40" w:type="dxa"/>
              <w:end w:w="95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i w:val="0"/>
                <w:color w:val="18375A"/>
                <w:sz w:val="20"/>
              </w:rPr>
              <w:t xml:space="preserve">11. </w:t>
            </w:r>
            <w:r>
              <w:rPr>
                <w:rFonts w:ascii="Arial" w:hAnsi="Arial"/>
                <w:b/>
                <w:i w:val="0"/>
                <w:color w:val="18375A"/>
                <w:sz w:val="20"/>
              </w:rPr>
              <w:t>Follow-up plan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c>
          <w:tcPr>
            <w:tcW w:type="dxa" w:w="2268"/>
            <w:shd w:fill="EAF0F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8375A"/>
                <w:sz w:val="17"/>
              </w:rPr>
              <w:t>Follow-up type</w:t>
            </w:r>
          </w:p>
        </w:tc>
        <w:tc>
          <w:tcPr>
            <w:tcW w:type="dxa" w:w="1701"/>
            <w:shd w:fill="EAF0F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8375A"/>
                <w:sz w:val="17"/>
              </w:rPr>
              <w:t>Date</w:t>
            </w:r>
          </w:p>
        </w:tc>
        <w:tc>
          <w:tcPr>
            <w:tcW w:type="dxa" w:w="2948"/>
            <w:shd w:fill="EAF0F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8375A"/>
                <w:sz w:val="17"/>
              </w:rPr>
              <w:t>Purpose</w:t>
            </w:r>
          </w:p>
        </w:tc>
        <w:tc>
          <w:tcPr>
            <w:tcW w:type="dxa" w:w="2324"/>
            <w:shd w:fill="EAF0F6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18375A"/>
                <w:sz w:val="17"/>
              </w:rPr>
              <w:t>Responsible clinician /</w:t>
              <w:br/>
              <w:t>service</w:t>
            </w:r>
          </w:p>
        </w:tc>
      </w:tr>
      <w:tr>
        <w:tc>
          <w:tcPr>
            <w:tcW w:type="dxa" w:w="226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[Clinic / virtual / GP / urgent]</w:t>
            </w:r>
          </w:p>
        </w:tc>
        <w:tc>
          <w:tcPr>
            <w:tcW w:type="dxa" w:w="1701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[DD/MM/YYYY]</w:t>
            </w:r>
          </w:p>
        </w:tc>
        <w:tc>
          <w:tcPr>
            <w:tcW w:type="dxa" w:w="2948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[Review response / results /</w:t>
              <w:br/>
              <w:t>safety / escalation]</w:t>
            </w:r>
          </w:p>
        </w:tc>
        <w:tc>
          <w:tcPr>
            <w:tcW w:type="dxa" w:w="2324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r>
              <w:rPr>
                <w:rFonts w:ascii="Arial" w:hAnsi="Arial"/>
                <w:b w:val="0"/>
                <w:i/>
                <w:color w:val="585858"/>
                <w:sz w:val="18"/>
              </w:rPr>
              <w:t>[Name / team]</w:t>
            </w:r>
          </w:p>
        </w:tc>
      </w:tr>
    </w:tbl>
    <w:p/>
    <w:p>
      <w:r>
        <w:rPr>
          <w:rFonts w:ascii="Arial" w:hAnsi="Arial"/>
          <w:b w:val="0"/>
          <w:i w:val="0"/>
          <w:color w:val="18375A"/>
          <w:sz w:val="19"/>
        </w:rPr>
        <w:t>Kind regards,</w:t>
      </w:r>
    </w:p>
    <w:p>
      <w:pPr>
        <w:spacing w:after="20"/>
      </w:pPr>
      <w:r>
        <w:rPr>
          <w:rFonts w:ascii="Arial" w:hAnsi="Arial"/>
          <w:b w:val="0"/>
          <w:i/>
          <w:color w:val="585858"/>
          <w:sz w:val="18"/>
        </w:rPr>
        <w:t>[Clinician name, postnominals]</w:t>
        <w:br/>
        <w:t>[Role / Department / Hospital]</w:t>
        <w:br/>
        <w:t>[Contact details]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907" w:bottom="737" w:left="907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85858"/>
        <w:sz w:val="16"/>
      </w:rPr>
      <w:t>Template designed for specialist headache clinic correspondence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i w:val="0"/>
        <w:color w:val="585858"/>
        <w:sz w:val="17"/>
      </w:rPr>
      <w:t>Headache Clinic Letter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