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Headache Follow-up Consultation Templates</w:t>
      </w:r>
    </w:p>
    <w:p>
      <w:pPr>
        <w:jc w:val="center"/>
      </w:pPr>
      <w:r>
        <w:rPr>
          <w:i/>
          <w:color w:val="5A5A5A"/>
          <w:sz w:val="21"/>
        </w:rPr>
        <w:t>Guideline-informed standalone templates for specialist headache review clinics</w:t>
      </w:r>
    </w:p>
    <w:p>
      <w:pPr>
        <w:jc w:val="center"/>
      </w:pPr>
      <w:r>
        <w:rPr>
          <w:sz w:val="21"/>
        </w:rPr>
        <w:t>Includes tailored follow-up templates for migraine, tension-type headache, cluster headache, trigeminal autonomic cephalalgias, medication overuse headache, cervicogenic headache, and occipital neuralgia.</w:t>
      </w:r>
    </w:p>
    <w:p>
      <w:pPr/>
      <w:r>
        <w:rPr>
          <w:i/>
          <w:sz w:val="18"/>
        </w:rPr>
        <w:t>Hover-help note: blue information icons contain section guidance when hovered in Microsoft Word desktop. On Word web/mobile and in exported PDF, the tips may not appear.</w:t>
      </w:r>
    </w:p>
    <w:p>
      <w:pPr>
        <w:pStyle w:val="Heading2"/>
        <w:spacing w:before="120" w:after="40"/>
      </w:pPr>
      <w:r>
        <w:rPr>
          <w:color w:val="376092"/>
        </w:rPr>
        <w:t>How to use this template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Intended setting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eurology / headache medicine follow-up consultation, virtual or face-to-fac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Design principle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ach template captures diagnosis-specific burden, attack pattern, medication use, examination, investigations, red flags, management decisions, and a dated follow-up pla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Documentation style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Record both positive findings and key negatives. Highlight reasons for any change in diagnosis, investigations, preventive therapy, acute therapy, or escalation of car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Important note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hese are documentation templates, not prescribing protocols. Clinical judgment, local formulary, and patient-specific contraindications remain essenti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Common core fields recommended in every headache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D3"/>
          </w:tcPr>
          <w:p>
            <w:r>
              <w:t>Administrative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D3"/>
          </w:tcPr>
          <w:p>
            <w:r>
              <w:t>Clinical burden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D3"/>
          </w:tcPr>
          <w:p>
            <w:r>
              <w:t>Safety / outcome</w:t>
            </w:r>
          </w:p>
        </w:tc>
      </w:tr>
      <w:tr>
        <w:tc>
          <w:tcPr>
            <w:tcW w:type="dxa" w:w="3437"/>
          </w:tcPr>
          <w:p>
            <w:r>
              <w:t>Date of review; clinician; visit type; interval since last review</w:t>
            </w:r>
          </w:p>
        </w:tc>
        <w:tc>
          <w:tcPr>
            <w:tcW w:type="dxa" w:w="3437"/>
          </w:tcPr>
          <w:p>
            <w:r>
              <w:t>Monthly headache days; attack frequency; pain severity; change since last review</w:t>
            </w:r>
          </w:p>
        </w:tc>
        <w:tc>
          <w:tcPr>
            <w:tcW w:type="dxa" w:w="3437"/>
          </w:tcPr>
          <w:p>
            <w:r>
              <w:t>New focal neurology, visual change, thunderclap onset, systemic red flags</w:t>
            </w:r>
          </w:p>
        </w:tc>
      </w:tr>
      <w:tr>
        <w:tc>
          <w:tcPr>
            <w:tcW w:type="dxa" w:w="3437"/>
          </w:tcPr>
          <w:p>
            <w:r>
              <w:t>Working diagnosis and phenotype</w:t>
            </w:r>
          </w:p>
        </w:tc>
        <w:tc>
          <w:tcPr>
            <w:tcW w:type="dxa" w:w="3437"/>
          </w:tcPr>
          <w:p>
            <w:r>
              <w:t>Duration, pattern, diurnal/bout pattern, autonomic features or neck features where relevant</w:t>
            </w:r>
          </w:p>
        </w:tc>
        <w:tc>
          <w:tcPr>
            <w:tcW w:type="dxa" w:w="3437"/>
          </w:tcPr>
          <w:p>
            <w:r>
              <w:t>Investigation outcomes and implications</w:t>
            </w:r>
          </w:p>
        </w:tc>
      </w:tr>
      <w:tr>
        <w:tc>
          <w:tcPr>
            <w:tcW w:type="dxa" w:w="3437"/>
          </w:tcPr>
          <w:p>
            <w:r>
              <w:t>Comorbidities and relevant PMH</w:t>
            </w:r>
          </w:p>
        </w:tc>
        <w:tc>
          <w:tcPr>
            <w:tcW w:type="dxa" w:w="3437"/>
          </w:tcPr>
          <w:p>
            <w:r>
              <w:t>Acute medication use days/month</w:t>
            </w:r>
          </w:p>
        </w:tc>
        <w:tc>
          <w:tcPr>
            <w:tcW w:type="dxa" w:w="3437"/>
          </w:tcPr>
          <w:p>
            <w:r>
              <w:t>Treatment response and adverse effects</w:t>
            </w:r>
          </w:p>
        </w:tc>
      </w:tr>
      <w:tr>
        <w:tc>
          <w:tcPr>
            <w:tcW w:type="dxa" w:w="3437"/>
          </w:tcPr>
          <w:p>
            <w:r>
              <w:t>Current preventive and acute medications</w:t>
            </w:r>
          </w:p>
        </w:tc>
        <w:tc>
          <w:tcPr>
            <w:tcW w:type="dxa" w:w="3437"/>
          </w:tcPr>
          <w:p>
            <w:r>
              <w:t>Functional impact / disability / work / sleep</w:t>
            </w:r>
          </w:p>
        </w:tc>
        <w:tc>
          <w:tcPr>
            <w:tcW w:type="dxa" w:w="3437"/>
          </w:tcPr>
          <w:p>
            <w:r>
              <w:t>Follow-up interval and escalation triggers</w:t>
            </w:r>
          </w:p>
        </w:tc>
      </w:tr>
    </w:tbl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1. Migraine follow-up consultation</w:t>
      </w:r>
    </w:p>
    <w:p>
      <w:pPr>
        <w:jc w:val="left"/>
      </w:pPr>
      <w:r>
        <w:rPr>
          <w:i/>
          <w:color w:val="5A5A5A"/>
          <w:sz w:val="20"/>
        </w:rPr>
        <w:t>For episodic migraine, chronic migraine, migraine with aura, menstrual-related migraine, and migraine with medication overuse risk.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igraine subtype; aura status; episodic versus chronic; current control status; probable versus definite diagnosis if evolving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omorbid headache disorders, pregnancy potential, psychiatric comorbidity, sleep disorder, vascular risk factors, medication overuse histor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this still migraine, has frequency escalated to chronic migraine, or is there another coexisting/secondary headache process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Monthly headache days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Monthly migraine days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Typical attack duration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Peak severity (0–10)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Aura frequency / type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Associated symptoms (nausea, photophobia, phonophobia)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Trigger pattern / menstrual link / sleep relationship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 impact / disability / work loss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monthly acute-treatment days, triptan/NSAID/gepant use, rescue use, adherence to preventives, response to each class, side effects, pregnancy/contraception considerations, and risk of medication overuse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Neuroimaging / prior investigations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RI/CT results, incidental findings, vascular imaging where relevant, laboratory or ophthalmology results if obtain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How results affect current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upport primary migraine diagnosis, identify mimics, or justify further work-up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investigations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List requests, expected dates, and who will action result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Vital signs; general appearance; hydration; weight/BMI if relevant to preventive choic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Focused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ranial nerves, fundoscopy if indicated, visual fields, motor/sensory/cerebellar screen, gai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Head/neck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ericranial tenderness, cervical ROM, occipital tenderness, TMJ features if relevan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Examination summary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ormal / abnormal findings and whether these alter diagnosis or investigation threshol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Thunderclap onset or abrupt major change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New focal neurologic symptoms/signs outside usual aura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Papilledema / visual obscurations / pulsatile tinnitus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Fever, weight loss, cancer/immunosuppression, meningism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Progressive cognitive change or seizure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Pregnancy / postpartum secondary-headache concern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ummarise whether migraine burden is improved / stable / worsening; note episodic versus chronic status and any overuse or comorbidity issu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Treatment changes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Acute strategy, preventive changes, behavioural/lifestyle advice, headache diary, trigger management, menstrual planning, rescue pla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Safety counselling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edication overuse thresholds, pregnancy advice where relevant, when to seek urgent review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ext review date, monitoring metric (MHD/MMD), interval bloods / ECG if needed, and escalation criteria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2. Tension-type headache follow-up consultation</w:t>
      </w:r>
    </w:p>
    <w:p>
      <w:pPr>
        <w:jc w:val="left"/>
      </w:pPr>
      <w:r>
        <w:rPr>
          <w:i/>
          <w:color w:val="5A5A5A"/>
          <w:sz w:val="20"/>
        </w:rPr>
        <w:t>For infrequent, frequent episodic, or chronic tension-type headache; also useful when mixed migraine/TTH symptoms need trend documentation.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ension-type headache subtype; pericranial tenderness present/absent; chronicity and overlap with migraine featur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tress, anxiety/depression, sleep disturbance, bruxism, medication overuse risk, cervical/postural contributor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this pure TTH, mixed migraine/TTH, chronic migraine, or a secondary headache mimicking TTH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Headache days/month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Average duration of episodes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Severity (0–10)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Character: pressing/tightening vs mixed features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Associated symptoms absent/present (nausea, photophobia, phonophobia)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Pericranial tenderness trend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Stress / sleep / posture correlation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 impact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Record simple analgesic use, caffeine-containing preparations, preventive adherence, physiotherapy/behavioural strategies, sleep and stress interventions, and days/month of acute medication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Prior investigations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maging or blood tests if undertaken, including reasons and outcom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Interpretation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xplain whether results support primary headache or redirect to another diagnosi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/ planned tests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List and justify only if clinically indicat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tate normality of neurologic examination and any features that lower threshold for imaging or referr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Pericranial and cervical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calp, temporalis, masseter, trapezius, cervical paraspinal tenderness; ROM and postural featur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Musculoskeletal contributors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MJ dysfunction, bruxism signs, shoulder girdle tension, occupational ergonomic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Abrupt onset / thunderclap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Progressive severity or new neurologic findings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Positional or exertional/Valsalva-provoked headache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Systemic illness features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New onset after age &gt;50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Unexplained unilateral, pulsatile, or severe disabling phenotype suggesting alternate diagnosis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Burden trend, chronicity, likely drivers (stress, poor sleep, musculoskeletal tension, mixed migraine features)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Acute analgesic advice, preventive options, behavioural therapy, sleep hygiene, physiotherapy / posture strategy, diary u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Medication-overuse prevention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xplicit max use plan for analgesics and review threshold if headache days increa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ate, interval, response metrics, and triggers for reconsidering diagnosis or arranging imaging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3. Cluster headache follow-up consultation</w:t>
      </w:r>
    </w:p>
    <w:p>
      <w:pPr>
        <w:jc w:val="left"/>
      </w:pPr>
      <w:r>
        <w:rPr>
          <w:i/>
          <w:color w:val="5A5A5A"/>
          <w:sz w:val="20"/>
        </w:rPr>
        <w:t>For episodic and chronic cluster headache, including review of active bouts, bout remission, acute attack treatment, and preventive titration.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luster headache subtype (episodic/chronic), side-locked laterality, current bout status, and any diagnostic uncertainty versus other TAC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moking history, circadian/bout pattern, prior verapamil response, steroid bridge use, oxygen access, psychiatric burden, sleep issu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the patient currently in bout, entering remission, or showing an alternative TAC/secondary cause pattern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Attacks per day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Average attack duration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Bout start date / remission pattern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Nocturnal attacks / circadian timing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Autonomic features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Restlessness/agitation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Abortive response to oxygen and triptan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Functional/suicide-risk impact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oxygen flow/mask access and efficacy, sumatriptan/zolmitriptan use, preventive agent dose (especially verapamil), ECG monitoring, steroid bridge course, and attack burden despite therapy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Imaging review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RI brain/pituitary ± vascular imaging where indicated; record date and whether secondary causes have been exclud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Other results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CG, lithium levels, renal/thyroid tests, treatment access issues (home oxygen, device approvals)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actions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maging/lab follow-up, ECG scheduling, oxygen prescription or home supply arrangement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Focused neurologic exam, cranial nerves, Horner features, visual symptoms, gait, and any atypical finding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Head and autonomic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psilateral tearing, conjunctival injection, ptosis/miosis, nasal symptoms during or between attacks if observed/report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Cardiovascular review relevant to therapy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ulse, blood pressure, ECG status / PR interval if on verapamil or lithium review need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Atypical duration/frequency for cluster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Persistent neurologic deficit or abnormal neuro exam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Side shift with concerning atypical features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New endocrine symptoms / pituitary concern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Acute Horner syndrome, neck pain or dissection concern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Suicidal ideation or severe psychological distress during bouts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urrent bout activity, response to acute therapies, preventive efficacy, and whether phenotype remains typical cluster headach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Acute therapy optimization, preventive titration, bridge therapy, ECG/lithium monitoring, neuromodulation or specialist escalation if refractor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Safety / access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Home oxygen logistics, triptan max plan, emergency advice, psychological suppor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Review date matched to bout activity; earlier review if attack frequency escalates or red flags emerg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4. Trigeminal autonomic cephalalgia follow-up consultation</w:t>
      </w:r>
    </w:p>
    <w:p>
      <w:pPr>
        <w:jc w:val="left"/>
      </w:pPr>
      <w:r>
        <w:rPr>
          <w:i/>
          <w:color w:val="5A5A5A"/>
          <w:sz w:val="20"/>
        </w:rPr>
        <w:t>For paroxysmal hemicrania, SUNCT/SUNA, hemicrania continua, or diagnostic uncertainty within the TAC spectrum.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AC subtype and current confidence level; include key discriminators such as attack duration/frequency, continuous background pain, and indomethacin respon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rior response to indomethacin, lamotrigine/lidocaine/topiramate, side-locking, autonomic features, interictal pain, and structural lesion work-up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oes current evolution confirm a TAC subtype, suggest cluster headache/trigeminal neuralgia/secondary headache, or justify reclassification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Attack frequency/day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Typical attack duration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Background continuous pain present?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Autonomic features pattern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Triggerability (touch, chewing, movement)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Indomethacin response / tolerance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Response to lidocaine / lamotrigine / other agents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Impact on sleep, eating, function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preventive and rescue therapy by subtype: indomethacin exposure and GI protection; lamotrigine/oxcarbazepine/topiramate/gabapentin; IV lidocaine admissions; nerve blocks; neurosurgical or neuromodulation discussions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Imaging review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RI brain including posterior fossa/pituitary when relevant; vascular imaging; any lesion potentially explaining secondary TAC phenotyp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Other results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CG / infusion monitoring / renal function / GI protection review where relevan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investigations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tate what remains outstanding and whether diagnosis depends on these result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ranial nerves, sensory change in trigeminal distribution, Horner features, visual fields, gai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Craniofacial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Autonomic signs, trigger zones, conjunctival injection/lacrimation, scalp/temporal/occipital tenderness if relevant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Focused diagnostic clues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resence or absence of indomethacin response, continuous pain, refractory periods, triggerability, restlessnes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New neurologic deficit or sensory loss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Atypical imaging or endocrine symptoms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Poor/no response to expected hallmark treatment (eg, indomethacin for PH/HC)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Progressive change in side, duration, or semiology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Visual loss or acute Horner syndrome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Systemic symptoms suggesting secondary cause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ubtype impression, treatment response, and rationale for maintaining or revising the TAC diagnosi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edication adjustment, GI protection, inpatient lidocaine plan, nerve block / neurosurgical referral if appropriat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Monitoring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Renal/GI/ECG/lab surveillance as appropriate to chosen therap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ate and key review aims: attack count, response threshold, imaging review, or consideration of advanced therapi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5. Medication overuse headache follow-up consultation</w:t>
      </w:r>
    </w:p>
    <w:p>
      <w:pPr>
        <w:jc w:val="left"/>
      </w:pPr>
      <w:r>
        <w:rPr>
          <w:i/>
          <w:color w:val="5A5A5A"/>
          <w:sz w:val="20"/>
        </w:rPr>
        <w:t>For established or suspected medication overuse headache, usually in the setting of underlying migraine or tension-type headache.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edication overuse headache with underlying primary headache disorder specified; record overused drug class and current stage of withdrawal / recover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uration of overuse, prior detox attempts, opioid/barbiturate use, caffeine excess, psychiatric comorbidity, relapse trigger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current headache primarily withdrawal/recovery, persistent underlying primary headache, or another secondary headache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Headache days/month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Current acute medication days/month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Overused classes and threshold exceeded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Change since withdrawal started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Withdrawal symptoms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Underlying headache phenotype after/through withdrawal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 impact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Relapse risk factors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exact monthly days of each acute medication class, start date of withdrawal, bridge treatment, preventive regimen, adherence, and whether opioid or combination-analgesic dependence concerns exist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Investigations reviewed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Only investigations clinically indicated for atypical presentation or red flag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Medication reconciliation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harmacy / GP records, OTC use, emergency department use, caffeine-containing compound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Outcome interpretation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Has withdrawal clarified the underlying headache diagnosis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tate whether exam is normal and whether any feature suggests alternate patholog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Withdrawal / safety review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Hydration, sleep, mood, autonomic symptoms, blood pressure if relevant, and dependence concern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Phenotype reassessment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ocument whether underlying disorder is migraine, TTH, mixed phenotype, or uncertai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Escalating headache despite withdrawal with atypical features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Neurologic deficit or papilledema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Systemic illness / infection / meningism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Substance dependence or safeguarding concern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Persistent thunderclap / positional / exertional pattern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Severe depression or suicidality during withdrawal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urrent withdrawal phase, likely underlying headache type, and progress toward reversal of overu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Withdrawal advice, preventive optimisation, bridge therapy, psychological support, written limits for future acute medication u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Relapse prevention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Specify monthly maximums and patient education provid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ate for reassessment after withdrawal window and when diagnosis will be formally revised if requir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6. Cervicogenic headache follow-up consultation</w:t>
      </w:r>
    </w:p>
    <w:p>
      <w:pPr>
        <w:jc w:val="left"/>
      </w:pPr>
      <w:r>
        <w:rPr>
          <w:i/>
          <w:color w:val="5A5A5A"/>
          <w:sz w:val="20"/>
        </w:rPr>
        <w:t>For headache attributed to cervical spine / soft-tissue structures, often with neck pain and provocation by movement or posture.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ervicogenic headache, unilateral/bilateral pattern, suspected cervical pain generator, and basis for diagnosis (clinical/imaging/block response where available)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Relevant trauma, cervical spondylosis, physiotherapy history, occupational posture, sleep position, coexisting migraine/TTH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headache truly cervicogenic, mixed with primary headache, or secondary to another cervical / intracranial process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Headache days/week or month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Neck pain severity and laterality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Relationship to neck movement / posture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Provocation by sustained positions or palpation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Associated reduced cervical ROM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Response to physiotherapy/manual therapy/blocks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 effect on work/driving/sleep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Presence of migrainous overlap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analgesics, muscle relaxants/neuropathic agents if used, physiotherapy adherence, home exercise programme, block or interventional response, and any medication overuse risk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Imaging / procedure review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-spine MRI/X-ray/CT, diagnostic blocks, physiotherapy reports, pain clinic correspondenc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Interpretation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Whether findings support cervical source and correlate clinicall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investigations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Further imaging or specialist review only if clinically justified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ranial nerve and limb neurologic exam; screen for myelopathy/radiculopath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Cervical spine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Active ROM, pain provocation, upper cervical tenderness, facet loading, posture, scapular dysfunctio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Occipital / myofascial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ender points, occipital nerve tenderness, trapezius/suboccipital spasm, trigger point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Myelopathic features, limb weakness/numbness, gait change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Constitutional symptoms, malignancy/infection risk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Thunderclap or non-cervical new severe headache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Progressive neurologic deficit or cranial nerve signs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Trauma-related red flags / instability concern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Headache not reproduced or influenced by cervical factors despite presumed diagnosis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urrent evidence for cervicogenic mechanism, overlap with other headache disorders, and treatment respons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Exercise / physiotherapy plan, medication changes, ergonomic advice, interventional referral if appropriat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Escalation / referral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Pain clinic, spinal review, or neurology re-evaluation depending on finding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ate plus targeted metrics: ROM, headache frequency, pain score, and response to rehabilitation/interventio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Template 7. Occipital neuralgia follow-up consultation</w:t>
      </w:r>
    </w:p>
    <w:p>
      <w:pPr>
        <w:jc w:val="left"/>
      </w:pPr>
      <w:r>
        <w:rPr>
          <w:i/>
          <w:color w:val="5A5A5A"/>
          <w:sz w:val="20"/>
        </w:rPr>
        <w:t>For occipital neuralgia or occipital nerve–predominant pain, including patients with overlapping migraine/cervicogenic features.</w:t>
      </w:r>
    </w:p>
    <w:p>
      <w:pPr>
        <w:pStyle w:val="Heading2"/>
        <w:spacing w:before="120" w:after="40"/>
      </w:pPr>
      <w:r>
        <w:rPr>
          <w:color w:val="376092"/>
        </w:rPr>
        <w:t>1. Review details and diagnosis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Patient / identifiers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Name, DOB, NHS / MRN, date of review, clinician, clinic type, source of referral / follow-up interval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Current working diagnosis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Occipital neuralgia (greater/lesser/third occipital distribution) versus mixed occipital pain syndrome; document side, nerve territory, and certainty of diagnosi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Relevant background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ervical trauma, prior surgery, nerve block response, allodynia/dysaesthesia, scalp tenderness, coexisting migraine or cervicogenic headach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Key diagnostic question today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Is pain neuralgic in quality and distribution, or is another posterior headache phenotype more likely?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2. Current headache burden, severity and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Parameter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Current status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Comment / trend since last review</w:t>
            </w:r>
          </w:p>
        </w:tc>
      </w:tr>
      <w:tr>
        <w:tc>
          <w:tcPr>
            <w:tcW w:type="dxa" w:w="3437"/>
          </w:tcPr>
          <w:p>
            <w:r>
              <w:t>Pain paroxysm frequency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Baseline background occipital pain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Neuralgic quality (stabbing/shooting/electric)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Scalp dysaesthesia/allodynia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Radiation to vertex / eye / neck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Triggerability by touch or neck movement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Response to nerve block / neuropathic medication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  <w:tr>
        <w:tc>
          <w:tcPr>
            <w:tcW w:type="dxa" w:w="3437"/>
          </w:tcPr>
          <w:p>
            <w:r>
              <w:t>Functional and sleep impact</w:t>
            </w:r>
          </w:p>
        </w:tc>
        <w:tc>
          <w:tcPr>
            <w:tcW w:type="dxa" w:w="3437"/>
          </w:tcPr>
          <w:p>
            <w:r/>
          </w:p>
        </w:tc>
        <w:tc>
          <w:tcPr>
            <w:tcW w:type="dxa" w:w="3437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3. Medication review: preventive and acute treatment</w:t>
      </w:r>
      <w:r>
        <w:t xml:space="preserve"> </w:t>
      </w:r>
      <w:hyperlink r:id="rId11" w:tooltip="Document neuropathic pain agents, local anaesthetic/steroid block history, rescue analgesic use, physiotherapy/manual therapy, and any opioid or overuse concerns.">
        <w:r>
          <w:rPr>
            <w:color w:val="1F4E79"/>
            <w:u w:val="none"/>
            <w:sz w:val="22"/>
          </w:rPr>
          <w:t>ⓘ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Medication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Dose / schedule</w:t>
            </w:r>
          </w:p>
        </w:tc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Benefit / tolerability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Action / notes</w:t>
            </w:r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  <w:tr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>
              <w:t>Preventive / Acute</w:t>
            </w:r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  <w:tc>
          <w:tcPr>
            <w:tcW w:type="dxa" w:w="2062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4. Investigation and results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Imaging / procedure review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-spine imaging, brain imaging if obtained, ultrasound/nerve block records, pain clinic intervention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Interpretation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Whether results support peripheral nerve source or suggest alternate diagnosi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Pending actions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Further imaging, repeat block, pain service or surgical referral where appropriat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5.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General / neurologic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Cranial nerve and limb neurologic exam; look for alternative central caus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Occipital nerve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Tenderness over nerve emergence points, Tinel-like sign, sensory change/allodynia in occipital territory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Cervical examination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ROM limitation, trigger points, muscle spasm, overlap with cervicogenic features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6. Red flag symptoms and signs reviewed separately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Red flag symptom / sign reviewed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CCCC"/>
          </w:tcPr>
          <w:p>
            <w:r>
              <w:t>Present? details / absent</w:t>
            </w:r>
          </w:p>
        </w:tc>
      </w:tr>
      <w:tr>
        <w:tc>
          <w:tcPr>
            <w:tcW w:type="dxa" w:w="5156"/>
          </w:tcPr>
          <w:p>
            <w:r>
              <w:t>Progressive neurologic deficit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Constitutional / infectious symptoms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Mass lesion concern, trauma, or postsurgical complication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Atypical widespread sensory loss or central pain features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Sudden severe new headache unlike prior neuralgia</w:t>
            </w:r>
          </w:p>
        </w:tc>
        <w:tc>
          <w:tcPr>
            <w:tcW w:type="dxa" w:w="5156"/>
          </w:tcPr>
          <w:p>
            <w:r/>
          </w:p>
        </w:tc>
      </w:tr>
      <w:tr>
        <w:tc>
          <w:tcPr>
            <w:tcW w:type="dxa" w:w="5156"/>
          </w:tcPr>
          <w:p>
            <w:r>
              <w:t>Visual symptoms or cranial autonomic features suggesting another primary headache syndrome</w:t>
            </w:r>
          </w:p>
        </w:tc>
        <w:tc>
          <w:tcPr>
            <w:tcW w:type="dxa" w:w="5156"/>
          </w:tcPr>
          <w:p>
            <w:r/>
          </w:p>
        </w:tc>
      </w:tr>
    </w:tbl>
    <w:p/>
    <w:p>
      <w:pPr>
        <w:pStyle w:val="Heading2"/>
        <w:spacing w:before="120" w:after="40"/>
      </w:pPr>
      <w:r>
        <w:rPr>
          <w:color w:val="376092"/>
        </w:rPr>
        <w:t>7. Assessment, management and dated follow-up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Review item</w:t>
            </w:r>
          </w:p>
        </w:tc>
        <w:tc>
          <w:tcPr>
            <w:tcW w:type="dxa" w:w="58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AF7"/>
          </w:tcPr>
          <w:p>
            <w:r>
              <w:t>Clinical entry / notes</w:t>
            </w:r>
          </w:p>
        </w:tc>
      </w:tr>
      <w:tr>
        <w:tc>
          <w:tcPr>
            <w:tcW w:type="dxa" w:w="5156"/>
          </w:tcPr>
          <w:p>
            <w:r>
              <w:t>Assessment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Occipital neuralgia burden, overlap with migraine/cervicogenic headache, and response to prior block or medicatio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Management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Medication changes, repeat/diagnostic block consideration, physical therapy, pain specialist referral, self-management advice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Safety / patient advice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Overuse limits, driving/sedation counselling, when to seek urgent review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156"/>
          </w:tcPr>
          <w:p>
            <w:r>
              <w:t>Follow-up plan</w:t>
            </w:r>
          </w:p>
        </w:tc>
        <w:tc>
          <w:tcPr>
            <w:tcW w:type="dxa" w:w="5156"/>
          </w:tcPr>
          <w:p>
            <w:pPr>
              <w:jc w:val="left"/>
            </w:pPr>
            <w:r>
              <w:rPr>
                <w:sz w:val="20"/>
              </w:rPr>
            </w:r>
            <w:hyperlink r:id="rId11" w:tooltip="Date and goals: pain frequency, block response duration, medication tolerance, and need for escalation.">
              <w:r>
                <w:rPr>
                  <w:color w:val="1F4E79"/>
                  <w:u w:val="none"/>
                  <w:sz w:val="22"/>
                </w:rPr>
                <w:t>ⓘ</w:t>
              </w:r>
            </w:hyperlink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br/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160" w:after="80"/>
      </w:pPr>
      <w:r>
        <w:rPr>
          <w:color w:val="1F4E79"/>
        </w:rPr>
        <w:t>Appendix. Guideline and classification basis used to design these templates</w:t>
      </w:r>
    </w:p>
    <w:p>
      <w:r>
        <w:t>These documentation templates were structured to align follow-up review with the elements most consistently emphasised across major headache guidance: accurate phenotype definition, attack frequency and severity tracking, medication burden (acute and preventive), red-flag screening, focused examination, and clear review of investigations and follow-up plans.</w:t>
      </w:r>
    </w:p>
    <w:p>
      <w:pPr>
        <w:pStyle w:val="ListBullet"/>
      </w:pPr>
      <w:r>
        <w:rPr>
          <w:sz w:val="20"/>
        </w:rPr>
        <w:t>NICE CG150 Headaches in over 12s: diagnosis and management (updated 3 June 2025).</w:t>
      </w:r>
    </w:p>
    <w:p>
      <w:pPr>
        <w:pStyle w:val="ListBullet"/>
      </w:pPr>
      <w:r>
        <w:rPr>
          <w:sz w:val="20"/>
        </w:rPr>
        <w:t>American Headache Society Clinical Practice Guidelines and Position Statements, including the 2024 position statement update on CGRP-targeting therapies as first-line preventive options for migraine and the AHS evidence-based guideline for cluster headache.</w:t>
      </w:r>
    </w:p>
    <w:p>
      <w:pPr>
        <w:pStyle w:val="ListBullet"/>
      </w:pPr>
      <w:r>
        <w:rPr>
          <w:sz w:val="20"/>
        </w:rPr>
        <w:t>European Academy of Neurology guideline on the treatment of cluster headache (2023).</w:t>
      </w:r>
    </w:p>
    <w:p>
      <w:pPr>
        <w:pStyle w:val="ListBullet"/>
      </w:pPr>
      <w:r>
        <w:rPr>
          <w:sz w:val="20"/>
        </w:rPr>
        <w:t>International Classification of Headache Disorders, 3rd edition (ICHD-3), used for diagnostic framing across migraine, tension-type headache, cluster headache, trigeminal autonomic cephalalgias, medication-overuse headache, cervicogenic headache attribution, and occipital neuralgia.</w:t>
      </w:r>
    </w:p>
    <w:p>
      <w:pPr>
        <w:pStyle w:val="ListBullet"/>
      </w:pPr>
      <w:r>
        <w:rPr>
          <w:sz w:val="20"/>
        </w:rPr>
        <w:t>Chinese Association for the Study of Pain expert panel guideline on cervicogenic headache (2021) for structured follow-up of cervicogenic headache where formal NICE/AHS/EAN disorder-specific guidance is limited.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Guideline-informed follow-up templates for specialist headache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Headache Follow-up Template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