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B3A5C"/>
          <w:sz w:val="40"/>
          <w:szCs w:val="40"/>
        </w:rPr>
        <w:t xml:space="preserve">SPECIALIST HEADACHE CLINIC</w:t>
      </w:r>
    </w:p>
    <w:p>
      <w:pPr>
        <w:spacing w:after="200"/>
        <w:jc w:val="center"/>
      </w:pPr>
      <w:r>
        <w:rPr>
          <w:rFonts w:ascii="Arial" w:cs="Arial" w:eastAsia="Arial" w:hAnsi="Arial"/>
          <w:color w:val="0D7377"/>
          <w:sz w:val="32"/>
          <w:szCs w:val="32"/>
        </w:rPr>
        <w:t xml:space="preserve">Follow-Up Letter Writing Guidance</w:t>
      </w:r>
    </w:p>
    <w:p>
      <w:pPr>
        <w:pBdr>
          <w:top w:val="single" w:color="1B3A5C" w:sz="4" w:space="8"/>
          <w:bottom w:val="single" w:color="1B3A5C" w:sz="4" w:space="8"/>
        </w:pBdr>
        <w:spacing w:before="200" w:after="200"/>
        <w:jc w:val="center"/>
      </w:pPr>
      <w:r>
        <w:rPr>
          <w:rFonts w:ascii="Arial" w:cs="Arial" w:eastAsia="Arial" w:hAnsi="Arial"/>
          <w:i/>
          <w:iCs/>
          <w:color w:val="666666"/>
          <w:sz w:val="22"/>
          <w:szCs w:val="22"/>
        </w:rPr>
        <w:t xml:space="preserve">A practical reference for clinicians writing follow-up clinic letters across all headache diagnoses</w:t>
      </w:r>
    </w:p>
    <w:p>
      <w:pPr>
        <w:spacing w:after="200"/>
      </w:pPr>
    </w:p>
    <w:p>
      <w:pPr>
        <w:jc w:val="center"/>
      </w:pPr>
      <w:r>
        <w:rPr>
          <w:rFonts w:ascii="Arial" w:cs="Arial" w:eastAsia="Arial" w:hAnsi="Arial"/>
          <w:color w:val="2E75B6"/>
          <w:sz w:val="20"/>
          <w:szCs w:val="20"/>
        </w:rPr>
        <w:t xml:space="preserve">Based on the Initial Clinic Letter Template and 7 Diagnosis-Specific Follow-Up Templates</w:t>
      </w:r>
    </w:p>
    <w:p>
      <w:pPr>
        <w:spacing w:after="100"/>
      </w:pPr>
    </w:p>
    <w:p>
      <w:pPr>
        <w:jc w:val="center"/>
      </w:pPr>
      <w:r>
        <w:rPr>
          <w:rFonts w:ascii="Arial" w:cs="Arial" w:eastAsia="Arial" w:hAnsi="Arial"/>
          <w:color w:val="666666"/>
          <w:sz w:val="20"/>
          <w:szCs w:val="20"/>
        </w:rPr>
        <w:t xml:space="preserve">Aligned with NICE CG150, ICHD-3, AHS, and EAN guidelines</w:t>
      </w:r>
    </w:p>
    <w:p>
      <w:pPr>
        <w:spacing w:after="600"/>
      </w:pPr>
    </w:p>
    <w:p>
      <w:pPr>
        <w:jc w:val="center"/>
      </w:pPr>
      <w:r>
        <w:rPr>
          <w:rFonts w:ascii="Arial" w:cs="Arial" w:eastAsia="Arial" w:hAnsi="Arial"/>
          <w:color w:val="666666"/>
          <w:sz w:val="20"/>
          <w:szCs w:val="20"/>
        </w:rPr>
        <w:t xml:space="preserve">Version 1.0  —  March 2026</w:t>
      </w:r>
    </w:p>
    <w:p>
      <w:r>
        <w:br w:type="page"/>
      </w:r>
    </w:p>
    <w:p>
      <w:pPr>
        <w:pStyle w:val="Heading1"/>
      </w:pPr>
      <w:r>
        <w:t xml:space="preserve">1. Purpose of This Document</w:t>
      </w:r>
    </w:p>
    <w:p>
      <w:pPr>
        <w:spacing w:after="160"/>
      </w:pPr>
      <w:r>
        <w:rPr>
          <w:rFonts w:ascii="Arial" w:cs="Arial" w:eastAsia="Arial" w:hAnsi="Arial"/>
          <w:b w:val="false"/>
          <w:bCs w:val="false"/>
          <w:i w:val="false"/>
          <w:iCs w:val="false"/>
          <w:color w:val="1A1A1A"/>
          <w:sz w:val="22"/>
          <w:szCs w:val="22"/>
        </w:rPr>
        <w:t xml:space="preserve">This guidance document explains how to write follow-up headache clinic letters that are clear, medicolegally sound, and GP-friendly. It bridges the gap between your initial consultation letter (the 11-section master template) and the seven diagnosis-specific follow-up templates provided in the template pack.</w:t>
      </w:r>
    </w:p>
    <w:p>
      <w:pPr>
        <w:spacing w:after="160"/>
      </w:pPr>
      <w:r>
        <w:rPr>
          <w:rFonts w:ascii="Arial" w:cs="Arial" w:eastAsia="Arial" w:hAnsi="Arial"/>
          <w:b w:val="false"/>
          <w:bCs w:val="false"/>
          <w:i w:val="false"/>
          <w:iCs w:val="false"/>
          <w:color w:val="1A1A1A"/>
          <w:sz w:val="22"/>
          <w:szCs w:val="22"/>
        </w:rPr>
        <w:t xml:space="preserve">Use this guidance every time you prepare a follow-up letter. It tells you which template to select, what clinical content belongs in each section, how to document change over time, and how to avoid the most common documentation errors.</w:t>
      </w:r>
    </w:p>
    <w:p>
      <w:pPr>
        <w:pStyle w:val="Heading1"/>
      </w:pPr>
      <w:r>
        <w:t xml:space="preserve">2. Template Landscape: Initial vs Follow-Up</w:t>
      </w:r>
    </w:p>
    <w:p>
      <w:pPr>
        <w:spacing w:after="160"/>
      </w:pPr>
      <w:r>
        <w:rPr>
          <w:rFonts w:ascii="Arial" w:cs="Arial" w:eastAsia="Arial" w:hAnsi="Arial"/>
          <w:b w:val="false"/>
          <w:bCs w:val="false"/>
          <w:i w:val="false"/>
          <w:iCs w:val="false"/>
          <w:color w:val="1A1A1A"/>
          <w:sz w:val="22"/>
          <w:szCs w:val="22"/>
        </w:rPr>
        <w:t xml:space="preserve">The initial clinic letter is a comprehensive 11-section document designed for new-patient consultations. Follow-up letters use a streamlined 7-section structure that emphasises change since last review, treatment response, and ongoing safety screening.</w:t>
      </w:r>
    </w:p>
    <w:p>
      <w:pPr>
        <w:spacing w:after="8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Initial Letter (11 sections)</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Follow-Up Letter (7 sections)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Purpose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First assessment, full history, baseline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Track progress, adjust treatment, safety review</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Diagnosis</w:t>
            </w:r>
          </w:p>
        </w:tc>
        <w:tc>
          <w:tcPr>
            <w:tcW w:type="dxa" w:w="3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Working diagnosis with differentials</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Confirmed/revised diagnosis with phenotype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History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Full PMH, family, social, triggers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Relevant background summary only</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Medications</w:t>
            </w:r>
          </w:p>
        </w:tc>
        <w:tc>
          <w:tcPr>
            <w:tcW w:type="dxa" w:w="3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Current list with overuse risk</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Detailed response/tolerability tracking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Symptoms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Full presenting complaint narrative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Quantified burden with trend comparison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Examination</w:t>
            </w:r>
          </w:p>
        </w:tc>
        <w:tc>
          <w:tcPr>
            <w:tcW w:type="dxa" w:w="3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Full neuro + head/neck exam</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Focused exam relevant to diagnosis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Investigations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Two sections: ordered + results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Combined: results + pending in one section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flags</w:t>
            </w:r>
          </w:p>
        </w:tc>
        <w:tc>
          <w:tcPr>
            <w:tcW w:type="dxa" w:w="3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Screening with present/absent</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Diagnosis-specific red flag checklist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Plan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Management + follow-up as separate sections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Combined assessment, management, follow-up</w:t>
            </w:r>
          </w:p>
        </w:tc>
      </w:tr>
    </w:tbl>
    <w:p>
      <w:pPr>
        <w:pStyle w:val="Heading1"/>
      </w:pPr>
      <w:r>
        <w:t xml:space="preserve">3. Selecting the Right Follow-Up Template</w:t>
      </w:r>
    </w:p>
    <w:p>
      <w:pPr>
        <w:spacing w:after="160"/>
      </w:pPr>
      <w:r>
        <w:rPr>
          <w:rFonts w:ascii="Arial" w:cs="Arial" w:eastAsia="Arial" w:hAnsi="Arial"/>
          <w:b w:val="false"/>
          <w:bCs w:val="false"/>
          <w:i w:val="false"/>
          <w:iCs w:val="false"/>
          <w:color w:val="1A1A1A"/>
          <w:sz w:val="22"/>
          <w:szCs w:val="22"/>
        </w:rPr>
        <w:t xml:space="preserve">Choose your template based on the primary working diagnosis established at the initial or most recent consultation. If the diagnosis has changed, re-evaluate which template best fits.</w:t>
      </w:r>
    </w:p>
    <w:p>
      <w:pPr>
        <w:spacing w:after="8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39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Template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 When</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Differentiating Sections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 Migraine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Episodic migraine, chronic migraine, migraine with aura, menstrual migraine, MOH risk in migraine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Monthly migraine days, aura frequency, menstrual link, CGRP therapy tracking</w:t>
            </w:r>
          </w:p>
        </w:tc>
      </w:tr>
      <w:tr>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 Tension-Type Headache</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Episodic or chronic TTH, mixed migraine/TTH needing trend docs</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Pericranial tenderness trend, pressing/tightening character, stress/posture correlation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 Cluster Headache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Episodic or chronic CH, active bouts, remission monitoring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Attacks/day, bout pattern, circadian timing, oxygen/triptan response, suicide risk screening</w:t>
            </w:r>
          </w:p>
        </w:tc>
      </w:tr>
      <w:tr>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 TAC Spectrum</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Paroxysmal hemicrania, SUNCT/SUNA, hemicrania continua, TAC uncertainty</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Indomethacin response, triggerability, continuous background pain, treatment-response diagnostics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 Medication Overuse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Established or suspected MOH with underlying primary headache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Acute medication days/month, overuse thresholds, withdrawal progress, relapse risk factors</w:t>
            </w:r>
          </w:p>
        </w:tc>
      </w:tr>
      <w:tr>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 Cervicogenic Headache</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Headache attributed to cervical spine/soft-tissue pathology</w:t>
            </w:r>
          </w:p>
        </w:tc>
        <w:tc>
          <w:tcPr>
            <w:tcW w:type="dxa" w:w="3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Neck pain laterality, ROM, provocation by posture, physiotherapy/block response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 Occipital Neuralgia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Occipital neuralgia or occipital nerve-predominant pain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Paroxysm frequency, neuralgic quality, scalp dysaesthesia, nerve block response</w:t>
            </w:r>
          </w:p>
        </w:tc>
      </w:tr>
    </w:tbl>
    <w:p>
      <w:r>
        <w:br w:type="page"/>
      </w:r>
    </w:p>
    <w:p>
      <w:pPr>
        <w:pStyle w:val="Heading1"/>
      </w:pPr>
      <w:r>
        <w:t xml:space="preserve">4. The Universal 7-Section Follow-Up Structure</w:t>
      </w:r>
    </w:p>
    <w:p>
      <w:pPr>
        <w:spacing w:after="160"/>
      </w:pPr>
      <w:r>
        <w:rPr>
          <w:rFonts w:ascii="Arial" w:cs="Arial" w:eastAsia="Arial" w:hAnsi="Arial"/>
          <w:b w:val="false"/>
          <w:bCs w:val="false"/>
          <w:i w:val="false"/>
          <w:iCs w:val="false"/>
          <w:color w:val="1A1A1A"/>
          <w:sz w:val="22"/>
          <w:szCs w:val="22"/>
        </w:rPr>
        <w:t xml:space="preserve">Every follow-up template uses the same 7-section skeleton. This section explains what to write in each, regardless of diagnosis.</w:t>
      </w:r>
    </w:p>
    <w:p>
      <w:pPr>
        <w:pStyle w:val="Heading2"/>
      </w:pPr>
      <w:r>
        <w:t xml:space="preserve">4.1 Section 1: Review Details and Diagnosis</w:t>
      </w:r>
    </w:p>
    <w:p>
      <w:pPr>
        <w:spacing w:after="160"/>
      </w:pPr>
      <w:r>
        <w:rPr>
          <w:rFonts w:ascii="Arial" w:cs="Arial" w:eastAsia="Arial" w:hAnsi="Arial"/>
          <w:b/>
          <w:bCs/>
          <w:sz w:val="22"/>
          <w:szCs w:val="22"/>
        </w:rPr>
        <w:t xml:space="preserve">Patient/identifiers: </w:t>
      </w:r>
      <w:r>
        <w:rPr>
          <w:rFonts w:ascii="Arial" w:cs="Arial" w:eastAsia="Arial" w:hAnsi="Arial"/>
          <w:sz w:val="22"/>
          <w:szCs w:val="22"/>
        </w:rPr>
        <w:t xml:space="preserve">Full name, NHS/hospital number, DOB, date of review, clinician name, clinic type (face-to-face / virtual / telephone), and interval since last review.</w:t>
      </w:r>
    </w:p>
    <w:p>
      <w:pPr>
        <w:spacing w:after="160"/>
      </w:pPr>
      <w:r>
        <w:rPr>
          <w:rFonts w:ascii="Arial" w:cs="Arial" w:eastAsia="Arial" w:hAnsi="Arial"/>
          <w:b/>
          <w:bCs/>
          <w:sz w:val="22"/>
          <w:szCs w:val="22"/>
        </w:rPr>
        <w:t xml:space="preserve">Current working diagnosis: </w:t>
      </w:r>
      <w:r>
        <w:rPr>
          <w:rFonts w:ascii="Arial" w:cs="Arial" w:eastAsia="Arial" w:hAnsi="Arial"/>
          <w:sz w:val="22"/>
          <w:szCs w:val="22"/>
        </w:rPr>
        <w:t xml:space="preserve">State the current diagnosis using ICHD-3 terminology. If the diagnosis has changed or been refined since the initial letter, state what changed and why.</w:t>
      </w:r>
    </w:p>
    <w:p>
      <w:pPr>
        <w:spacing w:after="160"/>
      </w:pPr>
      <w:r>
        <w:rPr>
          <w:rFonts w:ascii="Arial" w:cs="Arial" w:eastAsia="Arial" w:hAnsi="Arial"/>
          <w:b/>
          <w:bCs/>
          <w:sz w:val="22"/>
          <w:szCs w:val="22"/>
        </w:rPr>
        <w:t xml:space="preserve">Relevant background: </w:t>
      </w:r>
      <w:r>
        <w:rPr>
          <w:rFonts w:ascii="Arial" w:cs="Arial" w:eastAsia="Arial" w:hAnsi="Arial"/>
          <w:sz w:val="22"/>
          <w:szCs w:val="22"/>
        </w:rPr>
        <w:t xml:space="preserve">Brief summary of comorbidities, prior headache history, vascular risk, and any social/occupational factors relevant to today’s review. Do not repeat the full PMH from the initial letter—refer to it.</w:t>
      </w:r>
    </w:p>
    <w:p>
      <w:pPr>
        <w:spacing w:after="160"/>
      </w:pPr>
      <w:r>
        <w:rPr>
          <w:rFonts w:ascii="Arial" w:cs="Arial" w:eastAsia="Arial" w:hAnsi="Arial"/>
          <w:b/>
          <w:bCs/>
          <w:sz w:val="22"/>
          <w:szCs w:val="22"/>
        </w:rPr>
        <w:t xml:space="preserve">Key diagnostic question today: </w:t>
      </w:r>
      <w:r>
        <w:rPr>
          <w:rFonts w:ascii="Arial" w:cs="Arial" w:eastAsia="Arial" w:hAnsi="Arial"/>
          <w:sz w:val="22"/>
          <w:szCs w:val="22"/>
        </w:rPr>
        <w:t xml:space="preserve">State the single most important clinical question this review needs to answer, e.g. “Is the preventive working?”, “Is the diagnosis correct given new features?”, or “Is MOH developing?”</w:t>
      </w:r>
    </w:p>
    <w:p>
      <w:pPr>
        <w:pStyle w:val="Heading2"/>
      </w:pPr>
      <w:r>
        <w:t xml:space="preserve">4.2 Section 2: Current Headache Burden, Severity and Pattern</w:t>
      </w:r>
    </w:p>
    <w:p>
      <w:pPr>
        <w:spacing w:after="160"/>
      </w:pPr>
      <w:r>
        <w:rPr>
          <w:rFonts w:ascii="Arial" w:cs="Arial" w:eastAsia="Arial" w:hAnsi="Arial"/>
          <w:b w:val="false"/>
          <w:bCs w:val="false"/>
          <w:i w:val="false"/>
          <w:iCs w:val="false"/>
          <w:color w:val="1A1A1A"/>
          <w:sz w:val="22"/>
          <w:szCs w:val="22"/>
        </w:rPr>
        <w:t xml:space="preserve">This is the most diagnosis-specific section. Each template provides a tailored parameter list. The universal principle is: quantify, compare, and trend.</w:t>
      </w:r>
    </w:p>
    <w:p>
      <w:pPr>
        <w:spacing w:after="8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Document</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Quantify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Use numbers, not adjectives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“14 headache days/month” not “frequent headaches”</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Compare</w:t>
            </w:r>
          </w:p>
        </w:tc>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Reference the last review explicitly</w:t>
            </w:r>
          </w:p>
        </w:tc>
        <w:tc>
          <w:tcPr>
            <w:tcW w:type="dxa" w:w="36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“Down from 18 days/month at last review on 12/01/2026”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Trend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State direction: improving / stable / worsening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“Improving trend since starting topiramate in January”</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Functional impact</w:t>
            </w:r>
          </w:p>
        </w:tc>
        <w:tc>
          <w:tcPr>
            <w:tcW w:type="dxa" w:w="3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Work days lost, disability, QoL effect</w:t>
            </w:r>
          </w:p>
        </w:tc>
        <w:tc>
          <w:tcPr>
            <w:tcW w:type="dxa" w:w="36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“Missed 2 work days this month vs 6 last month”</w:t>
            </w:r>
          </w:p>
        </w:tc>
      </w:tr>
    </w:tbl>
    <w:p>
      <w:pPr>
        <w:pStyle w:val="Heading2"/>
      </w:pPr>
      <w:r>
        <w:t xml:space="preserve">4.3 Section 3: Medication Review</w:t>
      </w:r>
    </w:p>
    <w:p>
      <w:pPr>
        <w:spacing w:after="160"/>
      </w:pPr>
      <w:r>
        <w:rPr>
          <w:rFonts w:ascii="Arial" w:cs="Arial" w:eastAsia="Arial" w:hAnsi="Arial"/>
          <w:b w:val="false"/>
          <w:bCs w:val="false"/>
          <w:i w:val="false"/>
          <w:iCs w:val="false"/>
          <w:color w:val="1A1A1A"/>
          <w:sz w:val="22"/>
          <w:szCs w:val="22"/>
        </w:rPr>
        <w:t xml:space="preserve">Document every current medication (preventive and acute) with five columns: drug name, type (preventive/acute), dose and schedule, benefit and tolerability, and action or notes.</w:t>
      </w:r>
    </w:p>
    <w:p>
      <w:pPr>
        <w:spacing w:after="160"/>
      </w:pPr>
      <w:r>
        <w:rPr>
          <w:rFonts w:ascii="Arial" w:cs="Arial" w:eastAsia="Arial" w:hAnsi="Arial"/>
          <w:b/>
          <w:bCs/>
          <w:sz w:val="22"/>
          <w:szCs w:val="22"/>
        </w:rPr>
        <w:t xml:space="preserve">Critical documentation points: </w:t>
      </w:r>
      <w:r>
        <w:rPr>
          <w:rFonts w:ascii="Arial" w:cs="Arial" w:eastAsia="Arial" w:hAnsi="Arial"/>
          <w:sz w:val="22"/>
          <w:szCs w:val="22"/>
        </w:rPr>
        <w:t xml:space="preserve">Always record acute medication days per month (threshold for MOH is 10+ days/month for triptans/opioids/combination analgesics, 15+ for simple analgesics). Record side effects even if tolerable. Note titration stage for preventives. State whether each drug should be continued, adjusted, stopped, or started.</w:t>
      </w:r>
    </w:p>
    <w:p>
      <w:pPr>
        <w:pStyle w:val="Heading2"/>
      </w:pPr>
      <w:r>
        <w:t xml:space="preserve">4.4 Section 4: Investigation and Results Review</w:t>
      </w:r>
    </w:p>
    <w:p>
      <w:pPr>
        <w:spacing w:after="160"/>
      </w:pPr>
      <w:r>
        <w:rPr>
          <w:rFonts w:ascii="Arial" w:cs="Arial" w:eastAsia="Arial" w:hAnsi="Arial"/>
          <w:b w:val="false"/>
          <w:bCs w:val="false"/>
          <w:i w:val="false"/>
          <w:iCs w:val="false"/>
          <w:color w:val="1A1A1A"/>
          <w:sz w:val="22"/>
          <w:szCs w:val="22"/>
        </w:rPr>
        <w:t xml:space="preserve">List any investigations reviewed since the last consultation, state the result, and—critically—state how the result affects the current diagnosis and management. Also list any pending investigations with expected timelines.</w:t>
      </w:r>
    </w:p>
    <w:p>
      <w:pPr>
        <w:spacing w:after="160"/>
      </w:pPr>
      <w:r>
        <w:rPr>
          <w:rFonts w:ascii="Arial" w:cs="Arial" w:eastAsia="Arial" w:hAnsi="Arial"/>
          <w:b/>
          <w:bCs/>
          <w:sz w:val="22"/>
          <w:szCs w:val="22"/>
        </w:rPr>
        <w:t xml:space="preserve">Key rule: </w:t>
      </w:r>
      <w:r>
        <w:rPr>
          <w:rFonts w:ascii="Arial" w:cs="Arial" w:eastAsia="Arial" w:hAnsi="Arial"/>
          <w:sz w:val="22"/>
          <w:szCs w:val="22"/>
        </w:rPr>
        <w:t xml:space="preserve">Never list a result without an interpretation. “MRI brain normal” is incomplete. “MRI brain normal — supports primary headache diagnosis, no structural lesion to explain symptoms” is medicolegally robust.</w:t>
      </w:r>
    </w:p>
    <w:p>
      <w:pPr>
        <w:pStyle w:val="Heading2"/>
      </w:pPr>
      <w:r>
        <w:t xml:space="preserve">4.5 Section 5: Clinical Examination</w:t>
      </w:r>
    </w:p>
    <w:p>
      <w:pPr>
        <w:spacing w:after="160"/>
      </w:pPr>
      <w:r>
        <w:rPr>
          <w:rFonts w:ascii="Arial" w:cs="Arial" w:eastAsia="Arial" w:hAnsi="Arial"/>
          <w:b w:val="false"/>
          <w:bCs w:val="false"/>
          <w:i w:val="false"/>
          <w:iCs w:val="false"/>
          <w:color w:val="1A1A1A"/>
          <w:sz w:val="22"/>
          <w:szCs w:val="22"/>
        </w:rPr>
        <w:t xml:space="preserve">Perform and document a focused examination relevant to the diagnosis. Each template specifies the exam components. At minimum, document: general observations (BP, appearance), focused neurological examination, and head/neck or diagnosis-specific examination.</w:t>
      </w:r>
    </w:p>
    <w:p>
      <w:pPr>
        <w:spacing w:after="160"/>
      </w:pPr>
      <w:r>
        <w:rPr>
          <w:rFonts w:ascii="Arial" w:cs="Arial" w:eastAsia="Arial" w:hAnsi="Arial"/>
          <w:b/>
          <w:bCs/>
          <w:sz w:val="22"/>
          <w:szCs w:val="22"/>
        </w:rPr>
        <w:t xml:space="preserve">Follow-up exam principle: </w:t>
      </w:r>
      <w:r>
        <w:rPr>
          <w:rFonts w:ascii="Arial" w:cs="Arial" w:eastAsia="Arial" w:hAnsi="Arial"/>
          <w:sz w:val="22"/>
          <w:szCs w:val="22"/>
        </w:rPr>
        <w:t xml:space="preserve">You do not need to repeat every normal finding from the initial letter. Focus on any change, any new finding, and confirm that key negatives remain negative. State “Neurological examination unchanged from [date]” if appropriate, but always re-examine if there are new symptoms.</w:t>
      </w:r>
    </w:p>
    <w:p>
      <w:pPr>
        <w:pStyle w:val="Heading2"/>
      </w:pPr>
      <w:r>
        <w:t xml:space="preserve">4.6 Section 6: Red Flag Symptoms and Signs</w:t>
      </w:r>
    </w:p>
    <w:p>
      <w:pPr>
        <w:spacing w:after="160"/>
      </w:pPr>
      <w:r>
        <w:rPr>
          <w:rFonts w:ascii="Arial" w:cs="Arial" w:eastAsia="Arial" w:hAnsi="Arial"/>
          <w:b w:val="false"/>
          <w:bCs w:val="false"/>
          <w:i w:val="false"/>
          <w:iCs w:val="false"/>
          <w:color w:val="1A1A1A"/>
          <w:sz w:val="22"/>
          <w:szCs w:val="22"/>
        </w:rPr>
        <w:t xml:space="preserve">Each follow-up template includes a diagnosis-specific red flag checklist. Review every item at every follow-up and document each as present (with details) or absent.</w:t>
      </w:r>
    </w:p>
    <w:p>
      <w:pPr>
        <w:spacing w:after="80"/>
      </w:pPr>
    </w:p>
    <w:p>
      <w:pPr>
        <w:pBdr>
          <w:left w:val="single" w:color="E65100" w:sz="12" w:space="8"/>
        </w:pBdr>
        <w:spacing w:after="160"/>
        <w:ind w:left="200"/>
      </w:pPr>
      <w:r>
        <w:rPr>
          <w:rFonts w:ascii="Arial" w:cs="Arial" w:eastAsia="Arial" w:hAnsi="Arial"/>
          <w:b/>
          <w:bCs/>
          <w:color w:val="E65100"/>
          <w:sz w:val="22"/>
          <w:szCs w:val="22"/>
        </w:rPr>
        <w:t xml:space="preserve">IMPORTANT: </w:t>
      </w:r>
      <w:r>
        <w:rPr>
          <w:rFonts w:ascii="Arial" w:cs="Arial" w:eastAsia="Arial" w:hAnsi="Arial"/>
          <w:color w:val="1A1A1A"/>
          <w:sz w:val="22"/>
          <w:szCs w:val="22"/>
        </w:rPr>
        <w:t xml:space="preserve">Documenting the absence of red flags is as important as documenting their presence. This is your medicolegal safety net. A letter that says “no red flags” without listing what was screened provides no evidence of diligence. Each template lists 5–6 specific flags to screen and document individually.</w:t>
      </w:r>
    </w:p>
    <w:p>
      <w:pPr>
        <w:pStyle w:val="Heading2"/>
      </w:pPr>
      <w:r>
        <w:t xml:space="preserve">4.7 Section 7: Assessment, Management and Follow-Up Plan</w:t>
      </w:r>
    </w:p>
    <w:p>
      <w:pPr>
        <w:spacing w:after="160"/>
      </w:pPr>
      <w:r>
        <w:rPr>
          <w:rFonts w:ascii="Arial" w:cs="Arial" w:eastAsia="Arial" w:hAnsi="Arial"/>
          <w:b w:val="false"/>
          <w:bCs w:val="false"/>
          <w:i w:val="false"/>
          <w:iCs w:val="false"/>
          <w:color w:val="1A1A1A"/>
          <w:sz w:val="22"/>
          <w:szCs w:val="22"/>
        </w:rPr>
        <w:t xml:space="preserve">This final section combines what was previously sections 10 and 11 in the initial letter. It should contain four clearly labelled subsections:</w:t>
      </w:r>
    </w:p>
    <w:p>
      <w:pPr>
        <w:spacing w:after="160"/>
      </w:pPr>
      <w:r>
        <w:rPr>
          <w:rFonts w:ascii="Arial" w:cs="Arial" w:eastAsia="Arial" w:hAnsi="Arial"/>
          <w:b/>
          <w:bCs/>
          <w:sz w:val="22"/>
          <w:szCs w:val="22"/>
        </w:rPr>
        <w:t xml:space="preserve">Assessment: </w:t>
      </w:r>
      <w:r>
        <w:rPr>
          <w:rFonts w:ascii="Arial" w:cs="Arial" w:eastAsia="Arial" w:hAnsi="Arial"/>
          <w:sz w:val="22"/>
          <w:szCs w:val="22"/>
        </w:rPr>
        <w:t xml:space="preserve">A brief clinical summary tying together the burden data, medication response, exam findings, and investigation results into a coherent narrative. State whether the patient is improving, stable, or worsening and whether the diagnosis remains secure.</w:t>
      </w:r>
    </w:p>
    <w:p>
      <w:pPr>
        <w:spacing w:after="160"/>
      </w:pPr>
      <w:r>
        <w:rPr>
          <w:rFonts w:ascii="Arial" w:cs="Arial" w:eastAsia="Arial" w:hAnsi="Arial"/>
          <w:b/>
          <w:bCs/>
          <w:sz w:val="22"/>
          <w:szCs w:val="22"/>
        </w:rPr>
        <w:t xml:space="preserve">Treatment changes: </w:t>
      </w:r>
      <w:r>
        <w:rPr>
          <w:rFonts w:ascii="Arial" w:cs="Arial" w:eastAsia="Arial" w:hAnsi="Arial"/>
          <w:sz w:val="22"/>
          <w:szCs w:val="22"/>
        </w:rPr>
        <w:t xml:space="preserve">Specific changes made today: dose adjustments, new prescriptions, stopped medications, referrals placed. Include dose, route, frequency, and titration instructions.</w:t>
      </w:r>
    </w:p>
    <w:p>
      <w:pPr>
        <w:spacing w:after="160"/>
      </w:pPr>
      <w:r>
        <w:rPr>
          <w:rFonts w:ascii="Arial" w:cs="Arial" w:eastAsia="Arial" w:hAnsi="Arial"/>
          <w:b/>
          <w:bCs/>
          <w:sz w:val="22"/>
          <w:szCs w:val="22"/>
        </w:rPr>
        <w:t xml:space="preserve">Safety counselling: </w:t>
      </w:r>
      <w:r>
        <w:rPr>
          <w:rFonts w:ascii="Arial" w:cs="Arial" w:eastAsia="Arial" w:hAnsi="Arial"/>
          <w:sz w:val="22"/>
          <w:szCs w:val="22"/>
        </w:rPr>
        <w:t xml:space="preserve">What the patient was advised about emergency escalation (e.g. thunderclap headache, new focal neurology, visual loss), medication safety (e.g. not exceeding acute dose limits), and driving/work implications.</w:t>
      </w:r>
    </w:p>
    <w:p>
      <w:pPr>
        <w:spacing w:after="160"/>
      </w:pPr>
      <w:r>
        <w:rPr>
          <w:rFonts w:ascii="Arial" w:cs="Arial" w:eastAsia="Arial" w:hAnsi="Arial"/>
          <w:b/>
          <w:bCs/>
          <w:sz w:val="22"/>
          <w:szCs w:val="22"/>
        </w:rPr>
        <w:t xml:space="preserve">Follow-up plan: </w:t>
      </w:r>
      <w:r>
        <w:rPr>
          <w:rFonts w:ascii="Arial" w:cs="Arial" w:eastAsia="Arial" w:hAnsi="Arial"/>
          <w:sz w:val="22"/>
          <w:szCs w:val="22"/>
        </w:rPr>
        <w:t xml:space="preserve">State the follow-up type (clinic/virtual/GP/urgent), date or timeframe, purpose, and which clinician or service is responsible. If discharging, state clearly that the GP can re-refer and under what circumstances.</w:t>
      </w:r>
    </w:p>
    <w:p>
      <w:r>
        <w:br w:type="page"/>
      </w:r>
    </w:p>
    <w:p>
      <w:pPr>
        <w:pStyle w:val="Heading1"/>
      </w:pPr>
      <w:r>
        <w:t xml:space="preserve">5. Bridging from the Initial Letter to Follow-Up</w:t>
      </w:r>
    </w:p>
    <w:p>
      <w:pPr>
        <w:spacing w:after="160"/>
      </w:pPr>
      <w:r>
        <w:rPr>
          <w:rFonts w:ascii="Arial" w:cs="Arial" w:eastAsia="Arial" w:hAnsi="Arial"/>
          <w:b w:val="false"/>
          <w:bCs w:val="false"/>
          <w:i w:val="false"/>
          <w:iCs w:val="false"/>
          <w:color w:val="1A1A1A"/>
          <w:sz w:val="22"/>
          <w:szCs w:val="22"/>
        </w:rPr>
        <w:t xml:space="preserve">The initial 11-section letter establishes a comprehensive baseline. When writing the first follow-up, pull forward these key elements: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From Initial Letter Section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Carry Forward To Follow-Up</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Reference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 Working diagnosis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 Review details and diagnosis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Restate diagnosis; note if changed</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 PMH / background</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 Relevant background</w:t>
            </w:r>
          </w:p>
        </w:tc>
        <w:tc>
          <w:tcPr>
            <w:tcW w:type="dxa" w:w="36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Brief summary; “see initial letter [date]” for full details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 Medications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 Medication review</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List all current meds with response since starting</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 Presenting symptoms</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 Current burden</w:t>
            </w:r>
          </w:p>
        </w:tc>
        <w:tc>
          <w:tcPr>
            <w:tcW w:type="dxa" w:w="36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Use as baseline for comparison (“previously 20 days/month”)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 Examination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 Clinical examination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Note changes from baseline; “unchanged” if stable</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7/8. Investigations</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 Investigations review</w:t>
            </w:r>
          </w:p>
        </w:tc>
        <w:tc>
          <w:tcPr>
            <w:tcW w:type="dxa" w:w="36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Report results; state impact on diagnosis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9. Red flags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 Red flag review</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Re-screen using diagnosis-specific checklist</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10/11. Plan / follow-up</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 Assessment + plan</w:t>
            </w:r>
          </w:p>
        </w:tc>
        <w:tc>
          <w:tcPr>
            <w:tcW w:type="dxa" w:w="36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Review whether previous plan was followed; update</w:t>
            </w:r>
          </w:p>
        </w:tc>
      </w:tr>
    </w:tbl>
    <w:p>
      <w:r>
        <w:br w:type="page"/>
      </w:r>
    </w:p>
    <w:p>
      <w:pPr>
        <w:pStyle w:val="Heading1"/>
      </w:pPr>
      <w:r>
        <w:t xml:space="preserve">6. Diagnosis-Specific Follow-Up Tips</w:t>
      </w:r>
    </w:p>
    <w:p>
      <w:pPr>
        <w:pStyle w:val="Heading2"/>
      </w:pPr>
      <w:r>
        <w:t xml:space="preserve">6.1 Migraine</w:t>
      </w:r>
    </w:p>
    <w:p>
      <w:pPr>
        <w:pStyle w:val="ListParagraph"/>
        <w:numPr>
          <w:ilvl w:val="0"/>
          <w:numId w:val="2"/>
        </w:numPr>
      </w:pPr>
      <w:r>
        <w:rPr>
          <w:rFonts w:ascii="Arial" w:cs="Arial" w:eastAsia="Arial" w:hAnsi="Arial"/>
          <w:sz w:val="22"/>
          <w:szCs w:val="22"/>
        </w:rPr>
        <w:t xml:space="preserve">Always record both total headache days AND migraine-specific days separately.</w:t>
      </w:r>
    </w:p>
    <w:p>
      <w:pPr>
        <w:pStyle w:val="ListParagraph"/>
        <w:numPr>
          <w:ilvl w:val="0"/>
          <w:numId w:val="2"/>
        </w:numPr>
      </w:pPr>
      <w:r>
        <w:rPr>
          <w:rFonts w:ascii="Arial" w:cs="Arial" w:eastAsia="Arial" w:hAnsi="Arial"/>
          <w:sz w:val="22"/>
          <w:szCs w:val="22"/>
        </w:rPr>
        <w:t xml:space="preserve">Track aura frequency and type separately—changes in aura pattern may indicate a need for investigation.</w:t>
      </w:r>
    </w:p>
    <w:p>
      <w:pPr>
        <w:pStyle w:val="ListParagraph"/>
        <w:numPr>
          <w:ilvl w:val="0"/>
          <w:numId w:val="2"/>
        </w:numPr>
      </w:pPr>
      <w:r>
        <w:rPr>
          <w:rFonts w:ascii="Arial" w:cs="Arial" w:eastAsia="Arial" w:hAnsi="Arial"/>
          <w:sz w:val="22"/>
          <w:szCs w:val="22"/>
        </w:rPr>
        <w:t xml:space="preserve">Document menstrual relationship if relevant: perimenstrual, pure menstrual, or no link.</w:t>
      </w:r>
    </w:p>
    <w:p>
      <w:pPr>
        <w:pStyle w:val="ListParagraph"/>
        <w:numPr>
          <w:ilvl w:val="0"/>
          <w:numId w:val="2"/>
        </w:numPr>
      </w:pPr>
      <w:r>
        <w:rPr>
          <w:rFonts w:ascii="Arial" w:cs="Arial" w:eastAsia="Arial" w:hAnsi="Arial"/>
          <w:sz w:val="22"/>
          <w:szCs w:val="22"/>
        </w:rPr>
        <w:t xml:space="preserve">For chronic migraine patients on CGRP therapies: document the 50% responder rate assessment at 3 months.</w:t>
      </w:r>
    </w:p>
    <w:p>
      <w:pPr>
        <w:pStyle w:val="Heading2"/>
      </w:pPr>
      <w:r>
        <w:t xml:space="preserve">6.2 Tension-Type Headache</w:t>
      </w:r>
    </w:p>
    <w:p>
      <w:pPr>
        <w:pStyle w:val="ListParagraph"/>
        <w:numPr>
          <w:ilvl w:val="0"/>
          <w:numId w:val="2"/>
        </w:numPr>
      </w:pPr>
      <w:r>
        <w:rPr>
          <w:rFonts w:ascii="Arial" w:cs="Arial" w:eastAsia="Arial" w:hAnsi="Arial"/>
          <w:sz w:val="22"/>
          <w:szCs w:val="22"/>
        </w:rPr>
        <w:t xml:space="preserve">Distinguish pressing/tightening from any migrainous features—if mixed, document both phenotypes.</w:t>
      </w:r>
    </w:p>
    <w:p>
      <w:pPr>
        <w:pStyle w:val="ListParagraph"/>
        <w:numPr>
          <w:ilvl w:val="0"/>
          <w:numId w:val="2"/>
        </w:numPr>
      </w:pPr>
      <w:r>
        <w:rPr>
          <w:rFonts w:ascii="Arial" w:cs="Arial" w:eastAsia="Arial" w:hAnsi="Arial"/>
          <w:sz w:val="22"/>
          <w:szCs w:val="22"/>
        </w:rPr>
        <w:t xml:space="preserve">Track pericranial tenderness trend across visits.</w:t>
      </w:r>
    </w:p>
    <w:p>
      <w:pPr>
        <w:pStyle w:val="ListParagraph"/>
        <w:numPr>
          <w:ilvl w:val="0"/>
          <w:numId w:val="2"/>
        </w:numPr>
      </w:pPr>
      <w:r>
        <w:rPr>
          <w:rFonts w:ascii="Arial" w:cs="Arial" w:eastAsia="Arial" w:hAnsi="Arial"/>
          <w:sz w:val="22"/>
          <w:szCs w:val="22"/>
        </w:rPr>
        <w:t xml:space="preserve">Document stress, sleep, and posture contributors—these often drive TTH more than medications.</w:t>
      </w:r>
    </w:p>
    <w:p>
      <w:pPr>
        <w:pStyle w:val="Heading2"/>
      </w:pPr>
      <w:r>
        <w:t xml:space="preserve">6.3 Cluster Headache</w:t>
      </w:r>
    </w:p>
    <w:p>
      <w:pPr>
        <w:pStyle w:val="ListParagraph"/>
        <w:numPr>
          <w:ilvl w:val="0"/>
          <w:numId w:val="2"/>
        </w:numPr>
      </w:pPr>
      <w:r>
        <w:rPr>
          <w:rFonts w:ascii="Arial" w:cs="Arial" w:eastAsia="Arial" w:hAnsi="Arial"/>
          <w:sz w:val="22"/>
          <w:szCs w:val="22"/>
        </w:rPr>
        <w:t xml:space="preserve">Record bout start/end dates precisely—this defines episodic vs chronic CH.</w:t>
      </w:r>
    </w:p>
    <w:p>
      <w:pPr>
        <w:pStyle w:val="ListParagraph"/>
        <w:numPr>
          <w:ilvl w:val="0"/>
          <w:numId w:val="2"/>
        </w:numPr>
      </w:pPr>
      <w:r>
        <w:rPr>
          <w:rFonts w:ascii="Arial" w:cs="Arial" w:eastAsia="Arial" w:hAnsi="Arial"/>
          <w:sz w:val="22"/>
          <w:szCs w:val="22"/>
        </w:rPr>
        <w:t xml:space="preserve">Document oxygen access and response at every visit—access issues are common and must be escalated.</w:t>
      </w:r>
    </w:p>
    <w:p>
      <w:pPr>
        <w:pStyle w:val="ListParagraph"/>
        <w:numPr>
          <w:ilvl w:val="0"/>
          <w:numId w:val="2"/>
        </w:numPr>
      </w:pPr>
      <w:r>
        <w:rPr>
          <w:rFonts w:ascii="Arial" w:cs="Arial" w:eastAsia="Arial" w:hAnsi="Arial"/>
          <w:sz w:val="22"/>
          <w:szCs w:val="22"/>
        </w:rPr>
        <w:t xml:space="preserve">Always screen for suicidal ideation and psychological distress during active bouts. Document explicitly.</w:t>
      </w:r>
    </w:p>
    <w:p>
      <w:pPr>
        <w:pStyle w:val="Heading2"/>
      </w:pPr>
      <w:r>
        <w:t xml:space="preserve">6.4 Trigeminal Autonomic Cephalalgias</w:t>
      </w:r>
    </w:p>
    <w:p>
      <w:pPr>
        <w:pStyle w:val="ListParagraph"/>
        <w:numPr>
          <w:ilvl w:val="0"/>
          <w:numId w:val="2"/>
        </w:numPr>
      </w:pPr>
      <w:r>
        <w:rPr>
          <w:rFonts w:ascii="Arial" w:cs="Arial" w:eastAsia="Arial" w:hAnsi="Arial"/>
          <w:sz w:val="22"/>
          <w:szCs w:val="22"/>
        </w:rPr>
        <w:t xml:space="preserve">Indomethacin response (or lack thereof) is diagnostically critical. Document dose, duration of trial, and response.</w:t>
      </w:r>
    </w:p>
    <w:p>
      <w:pPr>
        <w:pStyle w:val="ListParagraph"/>
        <w:numPr>
          <w:ilvl w:val="0"/>
          <w:numId w:val="2"/>
        </w:numPr>
      </w:pPr>
      <w:r>
        <w:rPr>
          <w:rFonts w:ascii="Arial" w:cs="Arial" w:eastAsia="Arial" w:hAnsi="Arial"/>
          <w:sz w:val="22"/>
          <w:szCs w:val="22"/>
        </w:rPr>
        <w:t xml:space="preserve">A poor response to the expected hallmark treatment is itself a red flag—document and consider re-investigating.</w:t>
      </w:r>
    </w:p>
    <w:p>
      <w:pPr>
        <w:pStyle w:val="Heading2"/>
      </w:pPr>
      <w:r>
        <w:t xml:space="preserve">6.5 Medication Overuse Headache</w:t>
      </w:r>
    </w:p>
    <w:p>
      <w:pPr>
        <w:pStyle w:val="ListParagraph"/>
        <w:numPr>
          <w:ilvl w:val="0"/>
          <w:numId w:val="2"/>
        </w:numPr>
      </w:pPr>
      <w:r>
        <w:rPr>
          <w:rFonts w:ascii="Arial" w:cs="Arial" w:eastAsia="Arial" w:hAnsi="Arial"/>
          <w:sz w:val="22"/>
          <w:szCs w:val="22"/>
        </w:rPr>
        <w:t xml:space="preserve">Record exact acute medication days per month against ICHD-3 thresholds.</w:t>
      </w:r>
    </w:p>
    <w:p>
      <w:pPr>
        <w:pStyle w:val="ListParagraph"/>
        <w:numPr>
          <w:ilvl w:val="0"/>
          <w:numId w:val="2"/>
        </w:numPr>
      </w:pPr>
      <w:r>
        <w:rPr>
          <w:rFonts w:ascii="Arial" w:cs="Arial" w:eastAsia="Arial" w:hAnsi="Arial"/>
          <w:sz w:val="22"/>
          <w:szCs w:val="22"/>
        </w:rPr>
        <w:t xml:space="preserve">Document withdrawal timeline, symptoms, and whether the underlying headache phenotype has emerged.</w:t>
      </w:r>
    </w:p>
    <w:p>
      <w:pPr>
        <w:pStyle w:val="ListParagraph"/>
        <w:numPr>
          <w:ilvl w:val="0"/>
          <w:numId w:val="2"/>
        </w:numPr>
      </w:pPr>
      <w:r>
        <w:rPr>
          <w:rFonts w:ascii="Arial" w:cs="Arial" w:eastAsia="Arial" w:hAnsi="Arial"/>
          <w:sz w:val="22"/>
          <w:szCs w:val="22"/>
        </w:rPr>
        <w:t xml:space="preserve">Actively document relapse risk factors at every visit.</w:t>
      </w:r>
    </w:p>
    <w:p>
      <w:pPr>
        <w:pStyle w:val="Heading2"/>
      </w:pPr>
      <w:r>
        <w:t xml:space="preserve">6.6 Cervicogenic Headache</w:t>
      </w:r>
    </w:p>
    <w:p>
      <w:pPr>
        <w:pStyle w:val="ListParagraph"/>
        <w:numPr>
          <w:ilvl w:val="0"/>
          <w:numId w:val="2"/>
        </w:numPr>
      </w:pPr>
      <w:r>
        <w:rPr>
          <w:rFonts w:ascii="Arial" w:cs="Arial" w:eastAsia="Arial" w:hAnsi="Arial"/>
          <w:sz w:val="22"/>
          <w:szCs w:val="22"/>
        </w:rPr>
        <w:t xml:space="preserve">Document cervical ROM and whether headache is reproduced by neck movement or palpation.</w:t>
      </w:r>
    </w:p>
    <w:p>
      <w:pPr>
        <w:pStyle w:val="ListParagraph"/>
        <w:numPr>
          <w:ilvl w:val="0"/>
          <w:numId w:val="2"/>
        </w:numPr>
      </w:pPr>
      <w:r>
        <w:rPr>
          <w:rFonts w:ascii="Arial" w:cs="Arial" w:eastAsia="Arial" w:hAnsi="Arial"/>
          <w:sz w:val="22"/>
          <w:szCs w:val="22"/>
        </w:rPr>
        <w:t xml:space="preserve">Track physiotherapy/manual therapy/nerve block response—this is core to both diagnosis and management.</w:t>
      </w:r>
    </w:p>
    <w:p>
      <w:pPr>
        <w:pStyle w:val="Heading2"/>
      </w:pPr>
      <w:r>
        <w:t xml:space="preserve">6.7 Occipital Neuralgia</w:t>
      </w:r>
    </w:p>
    <w:p>
      <w:pPr>
        <w:pStyle w:val="ListParagraph"/>
        <w:numPr>
          <w:ilvl w:val="0"/>
          <w:numId w:val="2"/>
        </w:numPr>
      </w:pPr>
      <w:r>
        <w:rPr>
          <w:rFonts w:ascii="Arial" w:cs="Arial" w:eastAsia="Arial" w:hAnsi="Arial"/>
          <w:sz w:val="22"/>
          <w:szCs w:val="22"/>
        </w:rPr>
        <w:t xml:space="preserve">Distinguish neuralgic paroxysms from background continuous occipital pain—both should be tracked separately.</w:t>
      </w:r>
    </w:p>
    <w:p>
      <w:pPr>
        <w:pStyle w:val="ListParagraph"/>
        <w:numPr>
          <w:ilvl w:val="0"/>
          <w:numId w:val="2"/>
        </w:numPr>
      </w:pPr>
      <w:r>
        <w:rPr>
          <w:rFonts w:ascii="Arial" w:cs="Arial" w:eastAsia="Arial" w:hAnsi="Arial"/>
          <w:sz w:val="22"/>
          <w:szCs w:val="22"/>
        </w:rPr>
        <w:t xml:space="preserve">Document nerve block efficacy with onset, duration, and degree of relief.</w:t>
      </w:r>
    </w:p>
    <w:p>
      <w:r>
        <w:br w:type="page"/>
      </w:r>
    </w:p>
    <w:p>
      <w:pPr>
        <w:pStyle w:val="Heading1"/>
      </w:pPr>
      <w:r>
        <w:t xml:space="preserve">7. Common Documentation Pitfalls</w:t>
      </w:r>
    </w:p>
    <w:p>
      <w:pPr>
        <w:spacing w:after="8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Pitfall</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Do Instead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Vague burden description: “headaches are better”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baseline comparison, no measurable outcome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State: “8 headache days/month, down from 14 at last review on [date]”</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Listing a test result without interpretation</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GP cannot act; no medicolegal proof of clinical reasoning</w:t>
            </w:r>
          </w:p>
        </w:tc>
        <w:tc>
          <w:tcPr>
            <w:tcW w:type="dxa" w:w="3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Always add: what does this mean for diagnosis and management?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red flags” without specifying what was screened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evidence of diligent screening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Use the diagnosis-specific red flag checklist and document each item</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Copying the initial letter’s PMH verbatim</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Bloats the letter; obscures what’s new</w:t>
            </w:r>
          </w:p>
        </w:tc>
        <w:tc>
          <w:tcPr>
            <w:tcW w:type="dxa" w:w="3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Summarise in 1–2 lines; reference initial letter for full history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follow-up plan or vague “review in clinic”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GP has no escalation criteria; patient has no timeline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State: type, date/timeframe, purpose, responsible clinician</w:t>
            </w:r>
          </w:p>
        </w:tc>
      </w:tr>
      <w:tr>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Missing acute medication day count</w:t>
            </w:r>
          </w:p>
        </w:tc>
        <w:tc>
          <w:tcPr>
            <w:tcW w:type="dxa" w:w="2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MOH risk invisible to GP</w:t>
            </w:r>
          </w:p>
        </w:tc>
        <w:tc>
          <w:tcPr>
            <w:tcW w:type="dxa" w:w="3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Record acute medication days/month at every follow-up for every headache 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Not documenting shared decision-making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Medicolegal vulnerability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State what was discussed, what the patient chose, and why</w:t>
            </w:r>
          </w:p>
        </w:tc>
      </w:tr>
    </w:tbl>
    <w:p>
      <w:pPr>
        <w:pStyle w:val="Heading1"/>
      </w:pPr>
      <w:r>
        <w:t xml:space="preserve">8. Follow-Up Letter Quality Checklist</w:t>
      </w:r>
    </w:p>
    <w:p>
      <w:pPr>
        <w:spacing w:after="160"/>
      </w:pPr>
      <w:r>
        <w:rPr>
          <w:rFonts w:ascii="Arial" w:cs="Arial" w:eastAsia="Arial" w:hAnsi="Arial"/>
          <w:b w:val="false"/>
          <w:bCs w:val="false"/>
          <w:i w:val="false"/>
          <w:iCs w:val="false"/>
          <w:color w:val="1A1A1A"/>
          <w:sz w:val="22"/>
          <w:szCs w:val="22"/>
        </w:rPr>
        <w:t xml:space="preserve">Before signing off any follow-up letter, verify:</w:t>
      </w:r>
    </w:p>
    <w:p>
      <w:pPr>
        <w:spacing w:after="8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60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6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 to Ask Yourself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Diagnosis stated</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Have I stated the current working diagnosis using ICHD-3 terminology?</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Burden quantified</w:t>
            </w:r>
          </w:p>
        </w:tc>
        <w:tc>
          <w:tcPr>
            <w:tcW w:type="dxa" w:w="60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Have I recorded headache/attack frequency with numbers, not adjectives?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Trend documented</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Have I compared today’s burden to the last review with a date reference?</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All medications listed</w:t>
            </w:r>
          </w:p>
        </w:tc>
        <w:tc>
          <w:tcPr>
            <w:tcW w:type="dxa" w:w="60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Have I recorded every current preventive and acute medication with response?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Acute days counted</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Have I documented acute medication days per month?</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Results interpreted</w:t>
            </w:r>
          </w:p>
        </w:tc>
        <w:tc>
          <w:tcPr>
            <w:tcW w:type="dxa" w:w="60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Have I stated what each investigation result means for this patient?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Exam focused</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Have I documented a focused examination appropriate to this diagnosis?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Red flags screened</w:t>
            </w:r>
          </w:p>
        </w:tc>
        <w:tc>
          <w:tcPr>
            <w:tcW w:type="dxa" w:w="60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Have I individually documented each diagnosis-specific red flag as present or absent?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Safety counselling given</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Have I documented emergency escalation advice?</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Follow-up plan complete</w:t>
            </w:r>
          </w:p>
        </w:tc>
        <w:tc>
          <w:tcPr>
            <w:tcW w:type="dxa" w:w="60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Have I stated type, date, purpose, and responsible clinician?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GP can action this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Would a GP reading only this letter know what to do next and when to re-refer?</w:t>
            </w:r>
          </w:p>
        </w:tc>
      </w:tr>
    </w:tbl>
    <w:p>
      <w:r>
        <w:br w:type="page"/>
      </w:r>
    </w:p>
    <w:p>
      <w:pPr>
        <w:pStyle w:val="Heading1"/>
      </w:pPr>
      <w:r>
        <w:t xml:space="preserve">9. Quick Reference: Section-by-Section Summary</w:t>
      </w:r>
    </w:p>
    <w:p>
      <w:pPr>
        <w:spacing w:after="8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Purpose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Content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 Review Details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Who, when, what diagnosis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Patient ID, diagnosis, background summary, key question today</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 Headache Burden</w:t>
            </w:r>
          </w:p>
        </w:tc>
        <w:tc>
          <w:tcPr>
            <w:tcW w:type="dxa" w:w="2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Quantify and trend</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Diagnosis-specific parameters with numbers and comparison to last visit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 Medication Review</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Track treatment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Every drug with type, dose, response, tolerability, and action</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 Investigations</w:t>
            </w:r>
          </w:p>
        </w:tc>
        <w:tc>
          <w:tcPr>
            <w:tcW w:type="dxa" w:w="2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Evidence base</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Results + interpretation + pending tests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 Examination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Physical findings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Focused exam with changes from baseline noted</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 Red Flags</w:t>
            </w:r>
          </w:p>
        </w:tc>
        <w:tc>
          <w:tcPr>
            <w:tcW w:type="dxa" w:w="2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 screen</w:t>
            </w:r>
          </w:p>
        </w:tc>
        <w:tc>
          <w:tcPr>
            <w:tcW w:type="dxa" w:w="4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Each flag individually documented as present/absent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 Assessment + Plan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Clinical synthesis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Summary, treatment changes, safety advice, follow-up details</w:t>
            </w:r>
          </w:p>
        </w:tc>
      </w:tr>
    </w:tbl>
    <w:p>
      <w:pPr>
        <w:spacing w:after="400"/>
      </w:pPr>
    </w:p>
    <w:p>
      <w:pPr>
        <w:pBdr>
          <w:top w:val="single" w:color="1B3A5C" w:sz="4" w:space="8"/>
        </w:pBdr>
        <w:spacing w:before="200"/>
        <w:jc w:val="center"/>
      </w:pPr>
      <w:r>
        <w:rPr>
          <w:rFonts w:ascii="Arial" w:cs="Arial" w:eastAsia="Arial" w:hAnsi="Arial"/>
          <w:i/>
          <w:iCs/>
          <w:color w:val="666666"/>
          <w:sz w:val="20"/>
          <w:szCs w:val="20"/>
        </w:rPr>
        <w:t xml:space="preserve">End of Guidance Document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66666" w:sz="4" w:space="1"/>
      </w:pBdr>
      <w:jc w:val="center"/>
    </w:pPr>
    <w:r>
      <w:rPr>
        <w:rFonts w:ascii="Arial" w:cs="Arial" w:eastAsia="Arial" w:hAnsi="Arial"/>
        <w:color w:val="666666"/>
        <w:sz w:val="16"/>
        <w:szCs w:val="16"/>
      </w:rPr>
      <w:t xml:space="preserve">Specialist Headache Clinic — Follow-Up Letter Writing Guidance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spacing w:after="0"/>
    </w:pPr>
    <w:r>
      <w:rPr>
        <w:rFonts w:ascii="Arial" w:cs="Arial" w:eastAsia="Arial" w:hAnsi="Arial"/>
        <w:i/>
        <w:iCs/>
        <w:color w:val="666666"/>
        <w:sz w:val="18"/>
        <w:szCs w:val="18"/>
      </w:rPr>
      <w:t xml:space="preserve">Follow-Up Letter Guidance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D737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2026-03-22T23:20:14.004Z</dcterms:created>
  <dcterms:modified xsi:type="dcterms:W3CDTF">2026-03-22T23:20:14.005Z</dcterms:modified>
</cp:coreProperties>
</file>

<file path=docProps/custom.xml><?xml version="1.0" encoding="utf-8"?>
<Properties xmlns="http://schemas.openxmlformats.org/officeDocument/2006/custom-properties" xmlns:vt="http://schemas.openxmlformats.org/officeDocument/2006/docPropsVTypes"/>
</file>