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" w:hAnsi="Aptos"/>
          <w:b/>
          <w:color w:val="0F3460"/>
          <w:sz w:val="48"/>
        </w:rPr>
        <w:t>Adult Trigeminal Autonomic Cephalalgias</w:t>
      </w:r>
    </w:p>
    <w:p>
      <w:pPr>
        <w:spacing w:before="0" w:after="200" w:line="276" w:lineRule="auto"/>
        <w:jc w:val="center"/>
      </w:pPr>
      <w:r>
        <w:rPr>
          <w:rFonts w:ascii="Aptos" w:hAnsi="Aptos"/>
          <w:b w:val="0"/>
          <w:color w:val="374151"/>
          <w:sz w:val="26"/>
        </w:rPr>
        <w:t>Integrated diagnosis and management guideline for cluster headache, paroxysmal hemicrania, SUNCT/SUNA, and hemicrania continua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/>
                <w:color w:val="1F2937"/>
                <w:sz w:val="21"/>
              </w:rPr>
              <w:t>Purpose: provide a practical, clinician-facing pathway for recognising TAC phenotypes, choosing first-line treatment, ordering appropriate imaging, and escalating therapy safely.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/>
                <w:color w:val="1F2937"/>
                <w:sz w:val="21"/>
              </w:rPr>
              <w:t>Method: this document integrates the most recent formal NICE, American, European, and VA/DoD guidance where available, uses ICHD-3 diagnostic criteria for classification, and supplements non-cluster TAC sections with current specialist reviews because recent dedicated society guidelines for paroxysmal hemicrania, SUNCT/SUNA, and hemicrania continua are limited.</w:t>
            </w:r>
          </w:p>
        </w:tc>
      </w:tr>
    </w:tbl>
    <w:p>
      <w:pPr>
        <w:jc w:val="center"/>
      </w:pPr>
      <w:r>
        <w:rPr>
          <w:rFonts w:ascii="Aptos" w:hAnsi="Aptos"/>
          <w:i/>
          <w:color w:val="6B7280"/>
          <w:sz w:val="20"/>
        </w:rPr>
        <w:t>Prepared March 2026</w:t>
      </w:r>
    </w:p>
    <w:p/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before="0" w:after="40" w:line="276" w:lineRule="auto"/>
      </w:pPr>
      <w:r>
        <w:rPr>
          <w:sz w:val="21"/>
        </w:rPr>
        <w:t>Cluster headache is the only TAC with recent formal guideline coverage across NICE, AHS, EAN, and VA/DoD. Core first-line treatment is high-flow 100% oxygen and a rapid triptan, with early preventive therapy at bout onset.</w:t>
      </w:r>
    </w:p>
    <w:p>
      <w:pPr>
        <w:pStyle w:val="ListBullet"/>
        <w:spacing w:before="0" w:after="40" w:line="276" w:lineRule="auto"/>
      </w:pPr>
      <w:r>
        <w:rPr>
          <w:sz w:val="21"/>
        </w:rPr>
        <w:t>Verapamil remains the usual preventive anchor for cluster headache in routine specialist practice, although the 2023 VA/DoD guideline judged the evidence insufficient for or against routine use. EAN 2023 continues to recommend verapamil, alongside short-course corticosteroids as transitional therapy.</w:t>
      </w:r>
    </w:p>
    <w:p>
      <w:pPr>
        <w:pStyle w:val="ListBullet"/>
        <w:spacing w:before="0" w:after="40" w:line="276" w:lineRule="auto"/>
      </w:pPr>
      <w:r>
        <w:rPr>
          <w:sz w:val="21"/>
        </w:rPr>
        <w:t>Paroxysmal hemicrania and hemicrania continua are indomethacin-responsive TACs. A complete response to therapeutic indomethacin is both diagnostically and therapeutically central.</w:t>
      </w:r>
    </w:p>
    <w:p>
      <w:pPr>
        <w:pStyle w:val="ListBullet"/>
        <w:spacing w:before="0" w:after="40" w:line="276" w:lineRule="auto"/>
      </w:pPr>
      <w:r>
        <w:rPr>
          <w:sz w:val="21"/>
        </w:rPr>
        <w:t>SUNCT and SUNA require posterior fossa and pituitary-directed MRI because symptomatic mimics are well described. Intravenous lidocaine is the preferred rescue option for severe attacks; lamotrigine is the leading preventive treatment.</w:t>
      </w:r>
    </w:p>
    <w:p>
      <w:pPr>
        <w:pStyle w:val="ListBullet"/>
        <w:spacing w:before="0" w:after="40" w:line="276" w:lineRule="auto"/>
      </w:pPr>
      <w:r>
        <w:rPr>
          <w:sz w:val="21"/>
        </w:rPr>
        <w:t>A normal neurologic examination does not reliably exclude secondary TACs. MRI with contrast is appropriate in all new suspected TACs, with pituitary and posterior fossa assessment prioritised in SUNCT/SUNA, PH, and HC, and vascular imaging added when dissection or vascular lesions are suspected.</w:t>
      </w:r>
    </w:p>
    <w:p>
      <w:pPr>
        <w:pStyle w:val="ListBullet"/>
        <w:spacing w:before="0" w:after="40" w:line="276" w:lineRule="auto"/>
      </w:pPr>
      <w:r>
        <w:rPr>
          <w:sz w:val="21"/>
        </w:rPr>
        <w:t>For PH, SUNCT/SUNA, and HC, there is no recent full-spectrum NICE/AHS/EAN guideline equivalent to cluster headache. Recommendations are therefore drawn from ICHD-3 classification plus current specialist reviews and the older EFNS TAC framework.</w:t>
      </w:r>
    </w:p>
    <w:p>
      <w:pPr>
        <w:pStyle w:val="Heading1"/>
      </w:pPr>
      <w:r>
        <w:t>Method and evidence hierarchy</w:t>
      </w:r>
    </w:p>
    <w:p>
      <w:pPr>
        <w:spacing w:before="0" w:after="120" w:line="276" w:lineRule="auto"/>
      </w:pPr>
      <w:r>
        <w:rPr>
          <w:b/>
        </w:rPr>
        <w:t xml:space="preserve">Source hierarchy used in this document: </w:t>
      </w:r>
      <w:r>
        <w:t>1) current formal guidelines and consensus statements; 2) ICHD-3 diagnostic criteria; 3) recent peer-reviewed specialist reviews for areas without updated society guidance. Where recommendations differ, the text makes this explicit and prioritises patient safety, feasibility, and current specialist practice.</w:t>
      </w:r>
    </w:p>
    <w:p>
      <w:pPr>
        <w:pStyle w:val="ListBullet2"/>
        <w:spacing w:before="0" w:after="40" w:line="276" w:lineRule="auto"/>
      </w:pPr>
      <w:r>
        <w:rPr>
          <w:sz w:val="21"/>
        </w:rPr>
        <w:t>NICE CG150 (updated 2025) covers cluster headache but not the other TACs.</w:t>
      </w:r>
    </w:p>
    <w:p>
      <w:pPr>
        <w:pStyle w:val="ListBullet2"/>
        <w:spacing w:before="0" w:after="40" w:line="276" w:lineRule="auto"/>
      </w:pPr>
      <w:r>
        <w:rPr>
          <w:sz w:val="21"/>
        </w:rPr>
        <w:t>American guidance is primarily the AHS 2016 evidence-based cluster headache guideline; the current AHS guideline index does not list separate modern PH, SUNCT/SUNA, or HC guidelines.</w:t>
      </w:r>
    </w:p>
    <w:p>
      <w:pPr>
        <w:pStyle w:val="ListBullet2"/>
        <w:spacing w:before="0" w:after="40" w:line="276" w:lineRule="auto"/>
      </w:pPr>
      <w:r>
        <w:rPr>
          <w:sz w:val="21"/>
        </w:rPr>
        <w:t>European formal guidance is strongest for cluster headache via the EAN 2023 guideline; the older EFNS 2006 document remains the main society-level TAC-wide European framework.</w:t>
      </w:r>
    </w:p>
    <w:p>
      <w:pPr>
        <w:pStyle w:val="ListBullet2"/>
        <w:spacing w:before="0" w:after="40" w:line="276" w:lineRule="auto"/>
      </w:pPr>
      <w:r>
        <w:rPr>
          <w:sz w:val="21"/>
        </w:rPr>
        <w:t>VA/DoD 2023 provides contemporary cluster headache recommendations and is useful where other societies are silent on practical details.</w:t>
      </w:r>
    </w:p>
    <w:p>
      <w:pPr>
        <w:pStyle w:val="Heading1"/>
      </w:pPr>
      <w:r>
        <w:t>TAC diagnostic comparison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72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2937"/>
                <w:sz w:val="19"/>
              </w:rPr>
              <w:t>Disorder</w:t>
            </w:r>
          </w:p>
        </w:tc>
        <w:tc>
          <w:tcPr>
            <w:tcW w:type="dxa" w:w="144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2937"/>
                <w:sz w:val="19"/>
              </w:rPr>
              <w:t>Attack duration</w:t>
            </w:r>
          </w:p>
        </w:tc>
        <w:tc>
          <w:tcPr>
            <w:tcW w:type="dxa" w:w="1512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2937"/>
                <w:sz w:val="19"/>
              </w:rPr>
              <w:t>Attack frequency</w:t>
            </w:r>
          </w:p>
        </w:tc>
        <w:tc>
          <w:tcPr>
            <w:tcW w:type="dxa" w:w="208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2937"/>
                <w:sz w:val="19"/>
              </w:rPr>
              <w:t>Key features</w:t>
            </w:r>
          </w:p>
        </w:tc>
        <w:tc>
          <w:tcPr>
            <w:tcW w:type="dxa" w:w="208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2937"/>
                <w:sz w:val="19"/>
              </w:rPr>
              <w:t>Diagnostic anchor</w:t>
            </w:r>
          </w:p>
        </w:tc>
        <w:tc>
          <w:tcPr>
            <w:tcW w:type="dxa" w:w="1584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2937"/>
                <w:sz w:val="19"/>
              </w:rPr>
              <w:t>Core first-line treatment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Cluster headache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1F2937"/>
                <w:sz w:val="19"/>
              </w:rPr>
              <w:t>15–180 min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1F2937"/>
                <w:sz w:val="19"/>
              </w:rPr>
              <w:t>1 every other day to 8/day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Excruciating orbital/temporal pain, agitation/restlessness, marked ipsilateral autonomic features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Clinical phenotype + MRI to exclude secondary cause</w:t>
            </w:r>
          </w:p>
        </w:tc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Oxygen ± SC sumatriptan; start prevention early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Paroxysmal hemicrania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1F2937"/>
                <w:sz w:val="19"/>
              </w:rPr>
              <w:t>2–30 min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1F2937"/>
                <w:sz w:val="19"/>
              </w:rPr>
              <w:t>&gt;5/day, often 10+/day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Strictly unilateral short attacks with autonomic signs or restlessness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Absolute response to indomethacin</w:t>
            </w:r>
          </w:p>
        </w:tc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Indomethacin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SUNCT / SUNA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1F2937"/>
                <w:sz w:val="19"/>
              </w:rPr>
              <w:t>1–600 sec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1F2937"/>
                <w:sz w:val="19"/>
              </w:rPr>
              <w:t>At least 1/day; often many/day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Very brief neuralgiform attacks with prominent cranial autonomic symptoms; usually no refractory period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Clinical phenotype + MRI posterior fossa/pituitary; indomethacin and oxygen typically not helpful</w:t>
            </w:r>
          </w:p>
        </w:tc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IV lidocaine for rescue; lamotrigine prevention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Hemicrania continua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1F2937"/>
                <w:sz w:val="19"/>
              </w:rPr>
              <w:t>&gt;3 months continuous with exacerbations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color w:val="1F2937"/>
                <w:sz w:val="19"/>
              </w:rPr>
              <w:t>Continuous baseline pain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Side-locked continuous unilateral headache with superimposed flares and autonomic symptoms/agitation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Absolute response to indomethacin</w:t>
            </w:r>
          </w:p>
        </w:tc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color w:val="1F2937"/>
                <w:sz w:val="19"/>
              </w:rPr>
              <w:t>Indomethacin</w:t>
            </w:r>
          </w:p>
        </w:tc>
      </w:tr>
    </w:tbl>
    <w:p>
      <w:pPr>
        <w:pStyle w:val="Heading1"/>
      </w:pPr>
      <w:r>
        <w:t>Shared assessment for any suspected TAC</w:t>
      </w:r>
    </w:p>
    <w:p>
      <w:pPr>
        <w:pStyle w:val="ListBullet"/>
        <w:spacing w:before="0" w:after="40" w:line="276" w:lineRule="auto"/>
      </w:pPr>
      <w:r>
        <w:rPr>
          <w:sz w:val="21"/>
        </w:rPr>
        <w:t>Take a structured history of side-locking, attack duration, attack frequency, autonomic signs, agitation/restlessness, triggers, circadian periodicity, remission pattern, medication response, and interictal pain.</w:t>
      </w:r>
    </w:p>
    <w:p>
      <w:pPr>
        <w:pStyle w:val="ListBullet"/>
        <w:spacing w:before="0" w:after="40" w:line="276" w:lineRule="auto"/>
      </w:pPr>
      <w:r>
        <w:rPr>
          <w:sz w:val="21"/>
        </w:rPr>
        <w:t>Document attack frequency prospectively when diagnostic uncertainty exists.</w:t>
      </w:r>
    </w:p>
    <w:p>
      <w:pPr>
        <w:pStyle w:val="ListBullet"/>
        <w:spacing w:before="0" w:after="40" w:line="276" w:lineRule="auto"/>
      </w:pPr>
      <w:r>
        <w:rPr>
          <w:sz w:val="21"/>
        </w:rPr>
        <w:t>Examine pupils, ptosis, conjunctival injection, tearing, facial sweating, sensory loss, and ocular findings; check for Horner syndrome or cranial neuropathy.</w:t>
      </w:r>
    </w:p>
    <w:p>
      <w:pPr>
        <w:pStyle w:val="ListBullet"/>
        <w:spacing w:before="0" w:after="40" w:line="276" w:lineRule="auto"/>
      </w:pPr>
      <w:r>
        <w:rPr>
          <w:sz w:val="21"/>
        </w:rPr>
        <w:t>Look actively for secondary clues: atypical onset, older age at onset, continuously progressive course, new neurologic deficit, abnormal fundi, pituitary symptoms, fever, trauma, dental/sinus/orbital disease, and vascular risk features.</w:t>
      </w:r>
    </w:p>
    <w:p>
      <w:pPr>
        <w:pStyle w:val="Heading2"/>
      </w:pPr>
      <w:r>
        <w:t>Recommended imaging strategy</w:t>
      </w:r>
    </w:p>
    <w:p>
      <w:pPr>
        <w:pStyle w:val="ListBullet2"/>
        <w:spacing w:before="0" w:after="40" w:line="276" w:lineRule="auto"/>
      </w:pPr>
      <w:r>
        <w:rPr>
          <w:sz w:val="21"/>
        </w:rPr>
        <w:t>MRI brain with contrast in all new suspected TACs, even if the examination is normal.</w:t>
      </w:r>
    </w:p>
    <w:p>
      <w:pPr>
        <w:pStyle w:val="ListBullet2"/>
        <w:spacing w:before="0" w:after="40" w:line="276" w:lineRule="auto"/>
      </w:pPr>
      <w:r>
        <w:rPr>
          <w:sz w:val="21"/>
        </w:rPr>
        <w:t>Ensure pituitary/sellar assessment in cluster headache, paroxysmal hemicrania, SUNCT/SUNA, and hemicrania continua when clinically feasible.</w:t>
      </w:r>
    </w:p>
    <w:p>
      <w:pPr>
        <w:pStyle w:val="ListBullet2"/>
        <w:spacing w:before="0" w:after="40" w:line="276" w:lineRule="auto"/>
      </w:pPr>
      <w:r>
        <w:rPr>
          <w:sz w:val="21"/>
        </w:rPr>
        <w:t>Prioritise posterior fossa and trigeminal root entry zone imaging in SUNCT/SUNA.</w:t>
      </w:r>
    </w:p>
    <w:p>
      <w:pPr>
        <w:pStyle w:val="ListBullet2"/>
        <w:spacing w:before="0" w:after="40" w:line="276" w:lineRule="auto"/>
      </w:pPr>
      <w:r>
        <w:rPr>
          <w:sz w:val="21"/>
        </w:rPr>
        <w:t>Add CTA/MRA head and neck when carotid or vertebral artery dissection, aneurysm, fistula, or vascular malformation is suspected.</w:t>
      </w:r>
    </w:p>
    <w:p>
      <w:pPr>
        <w:pStyle w:val="ListBullet2"/>
        <w:spacing w:before="0" w:after="40" w:line="276" w:lineRule="auto"/>
      </w:pPr>
      <w:r>
        <w:rPr>
          <w:sz w:val="21"/>
        </w:rPr>
        <w:t>Use targeted additional testing for atypical cases: pituitary profile, inflammatory markers, lumbar puncture, ophthalmology, dental or sinus evaluation as indicated.</w:t>
      </w:r>
    </w:p>
    <w:p>
      <w:pPr>
        <w:pStyle w:val="Heading1"/>
      </w:pPr>
      <w:r>
        <w:t>1. Cluster headache</w:t>
      </w:r>
    </w:p>
    <w:p>
      <w:r>
        <w:rPr>
          <w:b/>
        </w:rPr>
        <w:t xml:space="preserve">Diagnosis. </w:t>
      </w:r>
      <w:r>
        <w:t>Severe to very severe unilateral orbital, supraorbital, and/or temporal pain lasting 15–180 minutes with at least one ipsilateral cranial autonomic feature or a sense of agitation/restlessness. Episodic cluster requires bouts separated by remissions of at least 3 months; chronic cluster has remissions shorter than 3 months over at least 1 year.</w:t>
      </w:r>
    </w:p>
    <w:p>
      <w:pPr>
        <w:pStyle w:val="Heading2"/>
      </w:pPr>
      <w:r>
        <w:t>Acute treatment</w:t>
      </w:r>
    </w:p>
    <w:p>
      <w:pPr>
        <w:pStyle w:val="ListBullet2"/>
        <w:spacing w:before="0" w:after="40" w:line="276" w:lineRule="auto"/>
      </w:pPr>
      <w:r>
        <w:rPr>
          <w:sz w:val="21"/>
        </w:rPr>
        <w:t>High-flow 100% oxygen is first-line where available. EAN 2023 strongly recommends at least 12 L/min for 15 minutes; VA/DoD 2023 supports normobaric oxygen; AHS 2016 rates high-flow oxygen Level A.</w:t>
      </w:r>
    </w:p>
    <w:p>
      <w:pPr>
        <w:pStyle w:val="ListBullet2"/>
        <w:spacing w:before="0" w:after="40" w:line="276" w:lineRule="auto"/>
      </w:pPr>
      <w:r>
        <w:rPr>
          <w:sz w:val="21"/>
        </w:rPr>
        <w:t>Subcutaneous sumatriptan 6 mg is first-line when oxygen is unavailable, impractical, or ineffective; intranasal zolmitriptan is an evidence-based alternative. NICE recommends offering oxygen and/or a triptan, using nasal triptan if injection is declined or contraindicated.</w:t>
      </w:r>
    </w:p>
    <w:p>
      <w:pPr>
        <w:pStyle w:val="ListBullet2"/>
        <w:spacing w:before="0" w:after="40" w:line="276" w:lineRule="auto"/>
      </w:pPr>
      <w:r>
        <w:rPr>
          <w:sz w:val="21"/>
        </w:rPr>
        <w:t>Avoid oral analgesics and opioids as primary attack therapy because onset is too slow and benefit is poor.</w:t>
      </w:r>
    </w:p>
    <w:p>
      <w:pPr>
        <w:pStyle w:val="Heading2"/>
      </w:pPr>
      <w:r>
        <w:t>Transitional and preventive treatment</w:t>
      </w:r>
    </w:p>
    <w:p>
      <w:pPr>
        <w:pStyle w:val="ListBullet2"/>
        <w:spacing w:before="0" w:after="40" w:line="276" w:lineRule="auto"/>
      </w:pPr>
      <w:r>
        <w:rPr>
          <w:sz w:val="21"/>
        </w:rPr>
        <w:t>Start preventive treatment as soon as a bout is recognised; do not rely on repeated acute therapies alone.</w:t>
      </w:r>
    </w:p>
    <w:p>
      <w:pPr>
        <w:pStyle w:val="ListBullet2"/>
        <w:spacing w:before="0" w:after="40" w:line="276" w:lineRule="auto"/>
      </w:pPr>
      <w:r>
        <w:rPr>
          <w:sz w:val="21"/>
        </w:rPr>
        <w:t>Verapamil remains the practical first-choice preventive agent in most specialist pathways. EAN 2023 recommends verapamil at at least 240 mg/day, titrated according to efficacy and tolerability. Obtain baseline ECG and repeat ECGs as dose rises, especially above 480 mg/day or in patients with conduction risk.</w:t>
      </w:r>
    </w:p>
    <w:p>
      <w:pPr>
        <w:pStyle w:val="ListBullet2"/>
        <w:spacing w:before="0" w:after="40" w:line="276" w:lineRule="auto"/>
      </w:pPr>
      <w:r>
        <w:rPr>
          <w:sz w:val="21"/>
        </w:rPr>
        <w:t>Use short-course corticosteroids as transitional therapy while verapamil is titrated. EAN 2023 recommends at least 100 mg prednisone orally or up to 500 mg IV equivalent per day for 5 days; clinical practice usually tapers over 1–3 weeks.</w:t>
      </w:r>
    </w:p>
    <w:p>
      <w:pPr>
        <w:pStyle w:val="ListBullet2"/>
        <w:spacing w:before="0" w:after="40" w:line="276" w:lineRule="auto"/>
      </w:pPr>
      <w:r>
        <w:rPr>
          <w:sz w:val="21"/>
        </w:rPr>
        <w:t>Galcanezumab is an option for episodic cluster headache. EAN 2023 recommends it as an alternative; VA/DoD 2023 suggests it for episodic cluster headache but suggests against it for chronic cluster headache.</w:t>
      </w:r>
    </w:p>
    <w:p>
      <w:pPr>
        <w:pStyle w:val="ListBullet2"/>
        <w:spacing w:before="0" w:after="40" w:line="276" w:lineRule="auto"/>
      </w:pPr>
      <w:r>
        <w:rPr>
          <w:sz w:val="21"/>
        </w:rPr>
        <w:t>Alternative add-on or second-line options include lithium, topiramate, and greater occipital nerve block. Noninvasive vagus nerve stimulation may help in episodic cluster headache.</w:t>
      </w:r>
    </w:p>
    <w:p>
      <w:pPr>
        <w:pStyle w:val="Heading2"/>
      </w:pPr>
      <w:r>
        <w:t>Practical note on differing guidelines</w:t>
      </w:r>
    </w:p>
    <w:p>
      <w:r>
        <w:rPr>
          <w:b/>
        </w:rPr>
        <w:t xml:space="preserve">The main modern divergence is verapamil. </w:t>
      </w:r>
      <w:r>
        <w:t>EAN 2023 and specialist practice continue to use verapamil as the preventive anchor, while VA/DoD 2023 judged the trial evidence insufficient to make a firm recommendation for or against it. In day-to-day headache practice, verapamil remains standard, but ECG monitoring and individualised dose escalation are essential.</w:t>
      </w:r>
    </w:p>
    <w:p>
      <w:pPr>
        <w:pStyle w:val="Heading2"/>
      </w:pPr>
      <w:r>
        <w:t>When to refer urgently</w:t>
      </w:r>
    </w:p>
    <w:p>
      <w:pPr>
        <w:pStyle w:val="ListBullet2"/>
        <w:spacing w:before="0" w:after="40" w:line="276" w:lineRule="auto"/>
      </w:pPr>
      <w:r>
        <w:rPr>
          <w:sz w:val="21"/>
        </w:rPr>
        <w:t>Atypical phenotype, abnormal examination, first-episode Horner syndrome, pituitary symptoms, suspected secondary cause, pregnancy, refractory chronic cluster headache, or consideration of neuromodulation or invasive procedures.</w:t>
      </w:r>
    </w:p>
    <w:p>
      <w:pPr>
        <w:pStyle w:val="Heading1"/>
      </w:pPr>
      <w:r>
        <w:t>2. Paroxysmal hemicrania</w:t>
      </w:r>
    </w:p>
    <w:p>
      <w:r>
        <w:rPr>
          <w:b/>
        </w:rPr>
        <w:t xml:space="preserve">Diagnosis. </w:t>
      </w:r>
      <w:r>
        <w:t>At least 20 attacks of severe unilateral orbital, supraorbital, and/or temporal pain lasting 2–30 minutes, usually more than 5 times daily, with ipsilateral autonomic features or agitation/restlessness, and absolute prevention by therapeutic indomethacin.</w:t>
      </w:r>
    </w:p>
    <w:p>
      <w:pPr>
        <w:pStyle w:val="Heading2"/>
      </w:pPr>
      <w:r>
        <w:t>Core management</w:t>
      </w:r>
    </w:p>
    <w:p>
      <w:pPr>
        <w:pStyle w:val="ListBullet2"/>
        <w:spacing w:before="0" w:after="40" w:line="276" w:lineRule="auto"/>
      </w:pPr>
      <w:r>
        <w:rPr>
          <w:sz w:val="21"/>
        </w:rPr>
        <w:t>Confirm the diagnosis with a therapeutic indomethacin trial unless contraindicated.</w:t>
      </w:r>
    </w:p>
    <w:p>
      <w:pPr>
        <w:pStyle w:val="ListBullet2"/>
        <w:spacing w:before="0" w:after="40" w:line="276" w:lineRule="auto"/>
      </w:pPr>
      <w:r>
        <w:rPr>
          <w:sz w:val="21"/>
        </w:rPr>
        <w:t>A practical adult oral trial is indomethacin 25 mg three times daily for 3 days, then 50 mg three times daily for 3 days, then 75 mg three times daily for 3 days if needed. Response is often dramatic within 24–48 hours once the effective dose is reached.</w:t>
      </w:r>
    </w:p>
    <w:p>
      <w:pPr>
        <w:pStyle w:val="ListBullet2"/>
        <w:spacing w:before="0" w:after="40" w:line="276" w:lineRule="auto"/>
      </w:pPr>
      <w:r>
        <w:rPr>
          <w:sz w:val="21"/>
        </w:rPr>
        <w:t>Continue at the lowest effective maintenance dose after diagnosis is established; co-prescribe gastroprotection when prolonged therapy is needed.</w:t>
      </w:r>
    </w:p>
    <w:p>
      <w:pPr>
        <w:pStyle w:val="ListBullet2"/>
        <w:spacing w:before="0" w:after="40" w:line="276" w:lineRule="auto"/>
      </w:pPr>
      <w:r>
        <w:rPr>
          <w:sz w:val="21"/>
        </w:rPr>
        <w:t>Re-image or reconsider the diagnosis if unusually high escalating doses are needed, if the response becomes incomplete, or if atypical features emerge.</w:t>
      </w:r>
    </w:p>
    <w:p>
      <w:pPr>
        <w:pStyle w:val="Heading2"/>
      </w:pPr>
      <w:r>
        <w:t>Alternatives when indomethacin is not tolerated</w:t>
      </w:r>
    </w:p>
    <w:p>
      <w:pPr>
        <w:pStyle w:val="ListBullet2"/>
        <w:spacing w:before="0" w:after="40" w:line="276" w:lineRule="auto"/>
      </w:pPr>
      <w:r>
        <w:rPr>
          <w:sz w:val="21"/>
        </w:rPr>
        <w:t>Evidence is limited and no modern high-quality guideline exists. The best supported alternatives from contemporary reviews are verapamil and, less reliably, other NSAIDs/COX-2 inhibitors, topiramate, or gabapentin, but none matches indomethacin for consistency.</w:t>
      </w:r>
    </w:p>
    <w:p>
      <w:pPr>
        <w:pStyle w:val="ListBullet2"/>
        <w:spacing w:before="0" w:after="40" w:line="276" w:lineRule="auto"/>
      </w:pPr>
      <w:r>
        <w:rPr>
          <w:sz w:val="21"/>
        </w:rPr>
        <w:t>Greater occipital nerve block and other interventional approaches have inconsistent benefit and are reserved for specialist care.</w:t>
      </w:r>
    </w:p>
    <w:p>
      <w:pPr>
        <w:pStyle w:val="Heading1"/>
      </w:pPr>
      <w:r>
        <w:t>3. SUNCT and SUNA</w:t>
      </w:r>
    </w:p>
    <w:p>
      <w:r>
        <w:rPr>
          <w:b/>
        </w:rPr>
        <w:t xml:space="preserve">Diagnosis. </w:t>
      </w:r>
      <w:r>
        <w:t>Short-lasting unilateral neuralgiform headache attacks present as moderate to severe unilateral orbital, supraorbital, temporal, or other trigeminal pain lasting 1–600 seconds, occurring as single stabs, series of stabs, or saw-tooth attacks, with ipsilateral cranial autonomic symptoms. SUNCT requires both conjunctival injection and tearing; SUNA requires only one or neither of these two features.</w:t>
      </w:r>
    </w:p>
    <w:p>
      <w:pPr>
        <w:pStyle w:val="Heading2"/>
      </w:pPr>
      <w:r>
        <w:t>Imaging and work-up</w:t>
      </w:r>
    </w:p>
    <w:p>
      <w:pPr>
        <w:pStyle w:val="ListBullet2"/>
        <w:spacing w:before="0" w:after="40" w:line="276" w:lineRule="auto"/>
      </w:pPr>
      <w:r>
        <w:rPr>
          <w:sz w:val="21"/>
        </w:rPr>
        <w:t>MRI brain with contrast is mandatory, ideally including posterior fossa, pituitary/sellar views, and trigeminal root entry zone assessment.</w:t>
      </w:r>
    </w:p>
    <w:p>
      <w:pPr>
        <w:pStyle w:val="ListBullet2"/>
        <w:spacing w:before="0" w:after="40" w:line="276" w:lineRule="auto"/>
      </w:pPr>
      <w:r>
        <w:rPr>
          <w:sz w:val="21"/>
        </w:rPr>
        <w:t>Consider neurovascular conflict, posterior fossa lesions, pituitary lesions, and inflammatory/infective secondary causes.</w:t>
      </w:r>
    </w:p>
    <w:p>
      <w:pPr>
        <w:pStyle w:val="ListBullet2"/>
        <w:spacing w:before="0" w:after="40" w:line="276" w:lineRule="auto"/>
      </w:pPr>
      <w:r>
        <w:rPr>
          <w:sz w:val="21"/>
        </w:rPr>
        <w:t>Indomethacin and oxygen nonresponse supports SUNCT/SUNA over PH or cluster headache, but does not replace imaging.</w:t>
      </w:r>
    </w:p>
    <w:p>
      <w:pPr>
        <w:pStyle w:val="Heading2"/>
      </w:pPr>
      <w:r>
        <w:t>Acute rescue</w:t>
      </w:r>
    </w:p>
    <w:p>
      <w:pPr>
        <w:pStyle w:val="ListBullet2"/>
        <w:spacing w:before="0" w:after="40" w:line="276" w:lineRule="auto"/>
      </w:pPr>
      <w:r>
        <w:rPr>
          <w:sz w:val="21"/>
        </w:rPr>
        <w:t>For frequent, disabling, or nutritionally compromising attacks, intravenous lidocaine infusion with continuous ECG monitoring is the preferred specialist rescue therapy.</w:t>
      </w:r>
    </w:p>
    <w:p>
      <w:pPr>
        <w:pStyle w:val="ListBullet2"/>
        <w:spacing w:before="0" w:after="40" w:line="276" w:lineRule="auto"/>
      </w:pPr>
      <w:r>
        <w:rPr>
          <w:sz w:val="21"/>
        </w:rPr>
        <w:t>This is inpatient treatment because arrhythmia, neuropsychiatric effects, and toxicity are possible.</w:t>
      </w:r>
    </w:p>
    <w:p>
      <w:pPr>
        <w:pStyle w:val="Heading2"/>
      </w:pPr>
      <w:r>
        <w:t>Preventive therapy</w:t>
      </w:r>
    </w:p>
    <w:p>
      <w:pPr>
        <w:pStyle w:val="ListBullet2"/>
        <w:spacing w:before="0" w:after="40" w:line="276" w:lineRule="auto"/>
      </w:pPr>
      <w:r>
        <w:rPr>
          <w:sz w:val="21"/>
        </w:rPr>
        <w:t>Lamotrigine is the leading first-line preventive option in current specialist practice and in recent American Academy of Neurology Continuum review material.</w:t>
      </w:r>
    </w:p>
    <w:p>
      <w:pPr>
        <w:pStyle w:val="ListBullet2"/>
        <w:spacing w:before="0" w:after="40" w:line="276" w:lineRule="auto"/>
      </w:pPr>
      <w:r>
        <w:rPr>
          <w:sz w:val="21"/>
        </w:rPr>
        <w:t>Alternative or add-on options include oxcarbazepine, topiramate, carbamazepine, duloxetine, and gabapentin. Choice depends on comorbidity, interaction profile, and tolerability.</w:t>
      </w:r>
    </w:p>
    <w:p>
      <w:pPr>
        <w:pStyle w:val="ListBullet2"/>
        <w:spacing w:before="0" w:after="40" w:line="276" w:lineRule="auto"/>
      </w:pPr>
      <w:r>
        <w:rPr>
          <w:sz w:val="21"/>
        </w:rPr>
        <w:t>For highly refractory disease, specialist centres may consider greater occipital nerve procedures, trigeminal microvascular decompression in selected neurovascular conflict, or other neuromodulatory techniques; destructive trigeminal procedures are generally avoided.</w:t>
      </w:r>
    </w:p>
    <w:p>
      <w:pPr>
        <w:pStyle w:val="Heading1"/>
      </w:pPr>
      <w:r>
        <w:t>4. Hemicrania continua</w:t>
      </w:r>
    </w:p>
    <w:p>
      <w:r>
        <w:rPr>
          <w:b/>
        </w:rPr>
        <w:t xml:space="preserve">Diagnosis. </w:t>
      </w:r>
      <w:r>
        <w:t>Unilateral headache present for more than 3 months with exacerbations of moderate or greater intensity, associated with ipsilateral autonomic features or restlessness/agitation during exacerbations, and responding absolutely to indomethacin.</w:t>
      </w:r>
    </w:p>
    <w:p>
      <w:pPr>
        <w:pStyle w:val="Heading2"/>
      </w:pPr>
      <w:r>
        <w:t>Core management</w:t>
      </w:r>
    </w:p>
    <w:p>
      <w:pPr>
        <w:pStyle w:val="ListBullet2"/>
        <w:spacing w:before="0" w:after="40" w:line="276" w:lineRule="auto"/>
      </w:pPr>
      <w:r>
        <w:rPr>
          <w:sz w:val="21"/>
        </w:rPr>
        <w:t>Use an indomethacin trial to confirm the diagnosis. A practical oral regimen is 25 mg three times daily for 3 days, then 50 mg three times daily for 3 days, then 75 mg three times daily for 3 days if required.</w:t>
      </w:r>
    </w:p>
    <w:p>
      <w:pPr>
        <w:pStyle w:val="ListBullet2"/>
        <w:spacing w:before="0" w:after="40" w:line="276" w:lineRule="auto"/>
      </w:pPr>
      <w:r>
        <w:rPr>
          <w:sz w:val="21"/>
        </w:rPr>
        <w:t>Once response is established, step down to the lowest effective maintenance dose and co-prescribe gastroprotection for ongoing therapy.</w:t>
      </w:r>
    </w:p>
    <w:p>
      <w:pPr>
        <w:pStyle w:val="ListBullet2"/>
        <w:spacing w:before="0" w:after="40" w:line="276" w:lineRule="auto"/>
      </w:pPr>
      <w:r>
        <w:rPr>
          <w:sz w:val="21"/>
        </w:rPr>
        <w:t>MRI brain with contrast is recommended in all suspected cases; add vascular imaging if dissection or vascular pathology is suspected.</w:t>
      </w:r>
    </w:p>
    <w:p>
      <w:pPr>
        <w:pStyle w:val="Heading2"/>
      </w:pPr>
      <w:r>
        <w:t>Alternatives when indomethacin cannot be continued</w:t>
      </w:r>
    </w:p>
    <w:p>
      <w:pPr>
        <w:pStyle w:val="ListBullet2"/>
        <w:spacing w:before="0" w:after="40" w:line="276" w:lineRule="auto"/>
      </w:pPr>
      <w:r>
        <w:rPr>
          <w:sz w:val="21"/>
        </w:rPr>
        <w:t>Evidence is limited. Current reviews support trying a COX-2 inhibitor, topiramate, gabapentin, or onabotulinumtoxinA in selected cases, but these are less reliable than indomethacin.</w:t>
      </w:r>
    </w:p>
    <w:p>
      <w:pPr>
        <w:pStyle w:val="ListBullet2"/>
        <w:spacing w:before="0" w:after="40" w:line="276" w:lineRule="auto"/>
      </w:pPr>
      <w:r>
        <w:rPr>
          <w:sz w:val="21"/>
        </w:rPr>
        <w:t>Persistent diagnostic doubt, partial response, bilateral symptoms, or progression should trigger re-evaluation for chronic migraine or a secondary headache disorder.</w:t>
      </w:r>
    </w:p>
    <w:p>
      <w:pPr>
        <w:pStyle w:val="Heading1"/>
      </w:pPr>
      <w:r>
        <w:t>5. Cross-guideline synthesis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584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172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NICE 2025</w:t>
            </w:r>
          </w:p>
        </w:tc>
        <w:tc>
          <w:tcPr>
            <w:tcW w:type="dxa" w:w="172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AHS 2016</w:t>
            </w:r>
          </w:p>
        </w:tc>
        <w:tc>
          <w:tcPr>
            <w:tcW w:type="dxa" w:w="208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EAN 2023</w:t>
            </w:r>
          </w:p>
        </w:tc>
        <w:tc>
          <w:tcPr>
            <w:tcW w:type="dxa" w:w="3456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Integrated interpretation for practice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Cluster diagnosis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Covers diagnosis and management of cluster headache in adults and those ≥12 years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Treatment guideline only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Treatment guideline only</w:t>
            </w:r>
          </w:p>
        </w:tc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Use ICHD-3 phenotype plus MRI to exclude secondary causes when first presenting or atypical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Acute cluster treatment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Offer oxygen and/or triptan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Level A: SC sumatriptan, intranasal zolmitriptan, high-flow oxygen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Strong recommendation: oxygen ≥12 L/min for 15 min and SC sumatriptan 6 mg</w:t>
            </w:r>
          </w:p>
        </w:tc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All major sources align: oxygen and rapid triptan are first-line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Cluster prevention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Verapamil used in practice via specialist pathways; CG150 does not give a full detailed preventive protocol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Level A only for suboccipital steroid injections; many common preventives lacked high-class evidence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Recommend verapamil; corticosteroids effective; lithium/topiramate/galcanezumab alternatives</w:t>
            </w:r>
          </w:p>
        </w:tc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Use verapamil as practical anchor, with ECG monitoring and corticosteroid bridge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Episodic cluster CGRP therapy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Not specifically detailed in CG150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Predates galcanezumab data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Alternative option: galcanezumab for episodic cluster headache</w:t>
            </w:r>
          </w:p>
        </w:tc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Reasonable in episodic cluster headache after first-line or when first-line not tolerated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PH / SUNCT-SUNA / HC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 dedicated modern NICE guideline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 dedicated modern AHS guideline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 modern EAN full-spectrum TAC guideline; older EFNS framework exists</w:t>
            </w:r>
          </w:p>
        </w:tc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Rely on ICHD-3 + specialist review evidence: indomethacin for PH/HC; lamotrigine-first strategy for SUNCT/SUNA</w:t>
            </w:r>
          </w:p>
        </w:tc>
      </w:tr>
    </w:tbl>
    <w:p>
      <w:pPr>
        <w:pStyle w:val="Heading1"/>
      </w:pPr>
      <w:r>
        <w:t>6. Practical clinical pathway</w:t>
      </w:r>
    </w:p>
    <w:p>
      <w:pPr>
        <w:spacing w:before="0" w:after="60" w:line="276" w:lineRule="auto"/>
        <w:ind w:left="144"/>
      </w:pPr>
      <w:r>
        <w:rPr>
          <w:b/>
          <w:color w:val="0F3460"/>
          <w:sz w:val="21"/>
        </w:rPr>
        <w:t xml:space="preserve">Step 1: </w:t>
      </w:r>
      <w:r>
        <w:rPr>
          <w:sz w:val="21"/>
        </w:rPr>
        <w:t>Confirm the phenotype: attack duration, frequency, side-locking, autonomic signs, restlessness, and remission pattern.</w:t>
      </w:r>
    </w:p>
    <w:p>
      <w:pPr>
        <w:spacing w:before="0" w:after="60" w:line="276" w:lineRule="auto"/>
        <w:ind w:left="144"/>
      </w:pPr>
      <w:r>
        <w:rPr>
          <w:b/>
          <w:color w:val="0F3460"/>
          <w:sz w:val="21"/>
        </w:rPr>
        <w:t xml:space="preserve">Step 2: </w:t>
      </w:r>
      <w:r>
        <w:rPr>
          <w:sz w:val="21"/>
        </w:rPr>
        <w:t>Exclude secondary causes early with MRI brain with contrast; add vascular or targeted testing when clinically indicated.</w:t>
      </w:r>
    </w:p>
    <w:p>
      <w:pPr>
        <w:spacing w:before="0" w:after="60" w:line="276" w:lineRule="auto"/>
        <w:ind w:left="144"/>
      </w:pPr>
      <w:r>
        <w:rPr>
          <w:b/>
          <w:color w:val="0F3460"/>
          <w:sz w:val="21"/>
        </w:rPr>
        <w:t xml:space="preserve">Step 3: </w:t>
      </w:r>
      <w:r>
        <w:rPr>
          <w:sz w:val="21"/>
        </w:rPr>
        <w:t>Treat according to phenotype: cluster headache with oxygen/triptan plus early prevention; PH and HC with indomethacin; SUNCT/SUNA with specialist-led rescue and preventive therapy.</w:t>
      </w:r>
    </w:p>
    <w:p>
      <w:pPr>
        <w:spacing w:before="0" w:after="60" w:line="276" w:lineRule="auto"/>
        <w:ind w:left="144"/>
      </w:pPr>
      <w:r>
        <w:rPr>
          <w:b/>
          <w:color w:val="0F3460"/>
          <w:sz w:val="21"/>
        </w:rPr>
        <w:t xml:space="preserve">Step 4: </w:t>
      </w:r>
      <w:r>
        <w:rPr>
          <w:sz w:val="21"/>
        </w:rPr>
        <w:t>Reassess if there is partial response, escalating dose requirement, side shift, bilateral symptoms, or mismatch between phenotype and expected treatment response.</w:t>
      </w:r>
    </w:p>
    <w:p>
      <w:pPr>
        <w:spacing w:before="0" w:after="60" w:line="276" w:lineRule="auto"/>
        <w:ind w:left="144"/>
      </w:pPr>
      <w:r>
        <w:rPr>
          <w:b/>
          <w:color w:val="0F3460"/>
          <w:sz w:val="21"/>
        </w:rPr>
        <w:t xml:space="preserve">Step 5: </w:t>
      </w:r>
      <w:r>
        <w:rPr>
          <w:sz w:val="21"/>
        </w:rPr>
        <w:t>Escalate to a specialist headache centre for refractory disease, diagnostic uncertainty, pregnancy, complex comorbidity, or consideration of blocks, neuromodulation, or surgery.</w:t>
      </w:r>
    </w:p>
    <w:p>
      <w:pPr>
        <w:pStyle w:val="Heading1"/>
      </w:pPr>
      <w:r>
        <w:t>References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National Institute for Health and Care Excellence. Headaches in over 12s: diagnosis and management (CG150). Updated 2025.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American Headache Society. Clinical Practice Guidelines page. Accessed March 2026. The current AHS guideline list includes a 2016 cluster headache evidence-based guideline but no dedicated modern PH, SUNCT/SUNA, or HC guideline.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Robbins MS, Starling AJ, Pringsheim TM, Becker WJ, Schwedt TJ. Treatment of Cluster Headache: The American Headache Society Evidence-Based Guidelines. Headache. 2016;56:1093-1106.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May A, et al. European Academy of Neurology guidelines on the treatment of cluster headache. Eur J Neurol. 2023.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VA/DoD Clinical Practice Guideline for the Management of Headache. Version 3.0. 2023.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International Headache Society. ICHD-3 diagnostic criteria: cluster headache; paroxysmal hemicrania; short-lasting unilateral neuralgiform headache attacks; hemicrania continua.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Bahra A, et al. Paroxysmal hemicrania and hemicrania continua: review on pathophysiology, clinical features and treatment. Cephalalgia. 2023.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Burish M. Cluster Headache, SUNCT, and SUNA. Continuum (Minneap Minn). 2024;30(2):391-410.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May A, Leone M, Afra J, et al. EFNS guidelines on the treatment of cluster headache and other trigeminal-autonomic cephalalgias. Eur J Neurol. 2006;13:1066-1077.</w:t>
      </w:r>
    </w:p>
    <w:p>
      <w:pPr>
        <w:pStyle w:val="ListNumber"/>
        <w:spacing w:before="0" w:after="40" w:line="276" w:lineRule="auto"/>
        <w:ind w:left="216" w:hanging="216"/>
      </w:pPr>
      <w:r>
        <w:rPr>
          <w:sz w:val="19"/>
        </w:rPr>
        <w:t>Hagen K, et al. One-year prevalence of cluster headache, hemicrania continua, paroxysmal hemicrania, and short-lasting unilateral neuralgiform headache attacks in Norway. Cephalalgia. 2024.</w:t>
      </w:r>
    </w:p>
    <w:sectPr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8"/>
      </w:rPr>
      <w:t xml:space="preserve">Adult TAC guideline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34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34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B556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