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SPECIALIST HEADACHE CLINIC</w:t>
      </w:r>
    </w:p>
    <w:p>
      <w:pPr>
        <w:spacing w:after="100"/>
        <w:jc w:val="center"/>
      </w:pPr>
      <w:r>
        <w:rPr>
          <w:rFonts w:ascii="Arial" w:cs="Arial" w:eastAsia="Arial" w:hAnsi="Arial"/>
          <w:color w:val="0E7C7B"/>
          <w:sz w:val="36"/>
          <w:szCs w:val="36"/>
        </w:rPr>
        <w:t xml:space="preserve">Web Portal</w:t>
      </w:r>
    </w:p>
    <w:p>
      <w:pPr>
        <w:pBdr>
          <w:bottom w:val="single" w:color="0E7C7B" w:sz="6" w:space="8"/>
        </w:pBdr>
        <w:spacing w:after="6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Project Planning &amp; Content Intake Document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 Version: 1.0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23 March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4870E"/>
          <w:sz w:val="22"/>
          <w:szCs w:val="22"/>
        </w:rPr>
        <w:t xml:space="preserve">Status: Planning Phase — Awaiting Client Clarification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Development Team</w:t>
      </w: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document records the complete intake analysis of 17 clinical documents delivered by the client for the Specialist Headache Clinic Web Portal. It provides a structured inventory of every document, maps content to portal features, identifies all open questions that must be answered before UX/UI and logic design can proceed, and proposes a phased next-steps roadmap.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portal will serve as a clinician-facing (and potentially patient-facing) platform covering four core modules: a searchable Guideline Library with AI chatbot, a searchable Evidence Library, clinic letter templates with auto-population from diary data, and a Headache Diary system with graph generation and paper-form OCR upload.</w:t>
      </w:r>
    </w:p>
    <w:p>
      <w:pPr>
        <w:pBdr>
          <w:bottom w:val="single" w:color="0E7C7B" w:sz="4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2. Complete Document Inventory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17 documents received have been extracted and analysed. They fall into four categories.</w:t>
      </w:r>
    </w:p>
    <w:p>
      <w:pPr>
        <w:pStyle w:val="Heading2"/>
      </w:pPr>
      <w:r>
        <w:rPr>
          <w:rFonts w:ascii="Arial" w:cs="Arial" w:eastAsia="Arial" w:hAnsi="Arial"/>
        </w:rPr>
        <w:t xml:space="preserve">2.1 Clinic Letter Templates (1 document)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6"/>
      </w:tblGrid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Summary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 Relevance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Follow_Up_Letter_Writing_Guidance.docx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7-section follow-up letter structure, template selection logic for 7 diagnosis types, comparison with 11-section initial consultation format, medicolegal documentation standards. Version 1.0, March 2026. Aligned with NICE CG150, ICHD-3, AHS, EAN.</w:t>
            </w:r>
          </w:p>
        </w:tc>
        <w:tc>
          <w:tcPr>
            <w:tcW w:type="dxa" w:w="3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Defines the letter engine: auto-population targets, section structure, quality checklist, red-flag documentation rules.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Guideline Library (13 documents)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document is a standalone, clinician-facing evidence-based guideline for a specific headache condition. All synthesise NICE CG150 with AHS, EAN, VA/DoD, EHF, IHS, and ICHD-3 sources. All dated March 2026.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Migraine.docx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migraine guideline: pathophysiology, diagnosis, acute/preventive treatment, CGRP therapies, BOTOX, GON blocks, pregnancy, MOH screening.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Chronic_migraine.docx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Chronic migraine definition, progression, prevention pathways, NICE vs AHS/EHF positioning on biologics.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Migraine_variants.docx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Menstrual migraine, hemiplegic migraine, vestibular migraine, migraine-associated stroke.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Tension_type_headache.docx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Diagnosis, acute treatment (ibuprofen/aspirin/paracetamol), prevention (amitriptyline), behavioural/exercise options.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Cluster_headache.docx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Diagnosis, acute (O₂ + SC sumatriptan), transitional, preventive (verapamil), refractory options.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Trugeminal_autonomic_cephalgia.docx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TAC spectrum: paroxysmal hemicrania, SUNCT/SUNA, hemicrania continua. Indomethacin-response diagnostics.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Medication_overuse_headache.docx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MOH diagnosis, withdrawal management (NICE vs EAN approaches), relapse prevention.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Chronic_daily_headache.docx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CDH as umbrella term, NDPH, subtype routing, assessment framework.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Cervicogenic_headache.docx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ICHD-3 cervicogenic criteria, physio/block escalation, imaging decisions.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Giant_cell_arteritis.docx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GCA emergency recognition, biopsy/imaging confirmation, glucocorticoid treatment, large-vessel surveillance.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Idiopathic_intracranual_hypertension.docx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IIH diagnosis, LP, weight management, acetazolamide, shunting, pregnancy considerations.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Spontaneous_intracranial_hypotension.docx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SIH recognition, imaging pathway (MRI→myelography), blood patch, CSF-venous fistula.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Imaging_in_headche.docx</w:t>
            </w:r>
          </w:p>
        </w:tc>
        <w:tc>
          <w:tcPr>
            <w:tcW w:type="dxa" w:w="6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When/how to image: CT vs MRI decision logic, modality by clinical scenario, red-flag driven.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 Evidence Library (2 documents)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7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Migraine_latest_evidence_V1__1_.docx</w:t>
            </w:r>
          </w:p>
        </w:tc>
        <w:tc>
          <w:tcPr>
            <w:tcW w:type="dxa" w:w="57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clinical paper summaries: REN for acute migraine, migraine with aura, atogepant prevention, triptan pharmacogenetics, acupuncture, behavioural interventions, GON block meta-analysis, eptinezumab safety, IHS neuromodulation guidelines, pharmacological treatment guidelines. Two-column format: left summary + right clinical application panel.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selected_headache_paper_clinical_summaries.docx</w:t>
            </w:r>
          </w:p>
        </w:tc>
        <w:tc>
          <w:tcPr>
            <w:tcW w:type="dxa" w:w="57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TTH clinical paper summaries: acupuncture (Lin 2025), psychological interventions (Yuan 2026), exercise (Palacio-Del Río 2025), pharmacological prophylaxis. Same two-column format.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2.4 Headache Diary + Portal Specification (1 document)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7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integrated_headache_diary_portal_template_v2.docx</w:t>
            </w:r>
          </w:p>
        </w:tc>
        <w:tc>
          <w:tcPr>
            <w:tcW w:type="dxa" w:w="57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Dual-purpose: patient-facing diary AND developer implementation brief. Covers: daily entry spec, monthly review summary, red-flag checklist, medication tracking, 8-graph pack (A–H), graph design standards, paper-form OCR upload workflow, clinic letter auto-population mapping, computed field definitions, threshold/alert logic, tooltip content library. Version 2.</w:t>
            </w:r>
          </w:p>
        </w:tc>
      </w:tr>
    </w:tbl>
    <w:p>
      <w:pPr>
        <w:pBdr>
          <w:bottom w:val="single" w:color="0E7C7B" w:sz="4" w:space="1"/>
        </w:pBdr>
        <w:spacing w:before="200" w:after="200"/>
      </w:pP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</w:rPr>
        <w:t xml:space="preserve">3. Portal Feature Map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Based on the document analysis, the portal requires four core modules plus supporting infrastructure.</w:t>
      </w:r>
    </w:p>
    <w:p>
      <w:pPr>
        <w:pStyle w:val="Heading2"/>
      </w:pPr>
      <w:r>
        <w:rPr>
          <w:rFonts w:ascii="Arial" w:cs="Arial" w:eastAsia="Arial" w:hAnsi="Arial"/>
        </w:rPr>
        <w:t xml:space="preserve">3.1 Module Overview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200"/>
        <w:gridCol w:w="2006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Documents</w:t>
            </w:r>
          </w:p>
        </w:tc>
        <w:tc>
          <w:tcPr>
            <w:tcW w:type="dxa" w:w="2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Guideline Library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Searchable/browsable clinical reference. Each condition is a standalone page with structured sections. Includes AI chatbot for guideline Q&amp;A.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 guideline documents</w:t>
            </w:r>
          </w:p>
        </w:tc>
        <w:tc>
          <w:tcPr>
            <w:tcW w:type="dxa" w:w="2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70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Evidence Library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Searchable clinical paper summaries with two-panel layout (study summary + clinical application). New papers added over time.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evidence documents</w:t>
            </w:r>
          </w:p>
        </w:tc>
        <w:tc>
          <w:tcPr>
            <w:tcW w:type="dxa" w:w="2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70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Letter Engine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diagnosis-specific follow-up templates + initial consultation template. Auto-populated from diary data. 7-section structure with red-flag checklists, quality checklist validation.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Follow-up guidance doc + diary spec</w:t>
            </w:r>
          </w:p>
        </w:tc>
        <w:tc>
          <w:tcPr>
            <w:tcW w:type="dxa" w:w="2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Diary System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entry portal (patient and/or clinician). Monthly review summary. 8-graph auto-generation (A–H). Paper-form OCR upload with verification screen. Auto-population into letter engine. Longitudinal trend storage.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Diary portal spec V2</w:t>
            </w:r>
          </w:p>
        </w:tc>
        <w:tc>
          <w:tcPr>
            <w:tcW w:type="dxa" w:w="20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VERY HIGH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Diary → Graph → Letter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most complex and highest-value feature chain. The client’s spec defines a 5-step workflow: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Entry: Direct patient portal entry OR uploaded paper diary (OCR).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Compute: Calculate burden metrics, medication exposure, phenotype signals, red-flag triggers.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Visualise: Render 8-graph pack automatically (charts A–H).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Populate: Insert summary metrics + graph snapshots into the follow-up clinic letter.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Store: Archive the reviewed month as baseline for longitudinal trending.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The 8 graphs specified are: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Headache days/month (vertical bar)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B: Migraine-feature vs non-migraine days (stacked bar)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C: Average + worst severity (dual line/paired columns)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D: Acute medication days + high-risk days (clustered bar)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E: Associated symptoms — nausea, visual, orthostatic, neck trigger (multi-series bar)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F: Missed work/school/activity days (bar)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G: Preventive adherence over time (line/gauge)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H: Red-flag events by month (alert timeline, amber/red emphasis)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Design standards: consistent palette (blue=burden, purple=migraine, orange=medication, green=adherence, red=red flags), greyscale-printable, PNG-exportable, embeddable in letters/PDFs.</w:t>
      </w:r>
    </w:p>
    <w:p>
      <w:pPr>
        <w:pStyle w:val="Heading2"/>
      </w:pPr>
      <w:r>
        <w:rPr>
          <w:rFonts w:ascii="Arial" w:cs="Arial" w:eastAsia="Arial" w:hAnsi="Arial"/>
        </w:rPr>
        <w:t xml:space="preserve">3.3 Alert &amp; Routing Logic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diary spec defines threshold-based alert rules that route patients to specific templates or trigger urgent banners: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Medication overuse concern → Flag amber/red, route to MOH template wording.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Possible secondary headache (thunderclap, new deficit, visual loss, etc.) → Urgent alert banner, suppress routine auto-population.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Possible IIH pathway (visual obscuration, pulsatile tinnitus, papilloedema, obesity) → Route to IIH template, emphasise ophthalmology/imaging.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Possible SIH pathway (orthostatic days, recumbent relief, low-pressure cluster) → Route to SIH investigation prompt.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Cervicogenic/occipital neuralgia signal (neck-triggered, posterior neuralgic entries) → Route to cervicogenic/occipital prompts.</w:t>
      </w:r>
    </w:p>
    <w:p>
      <w:pPr>
        <w:pBdr>
          <w:bottom w:val="single" w:color="0E7C7B" w:sz="4" w:space="1"/>
        </w:pBdr>
        <w:spacing w:before="200" w:after="200"/>
      </w:pP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</w:rPr>
        <w:t xml:space="preserve">4. Clarifying Questions for Client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The following questions must be answered before UX/UI design and development logic can be finalised. They are grouped by domain and prioritised.</w:t>
      </w:r>
    </w:p>
    <w:p>
      <w:pPr>
        <w:pStyle w:val="Heading2"/>
      </w:pPr>
      <w:r>
        <w:rPr>
          <w:rFonts w:ascii="Arial" w:cs="Arial" w:eastAsia="Arial" w:hAnsi="Arial"/>
        </w:rPr>
        <w:t xml:space="preserve">4.1 User Roles &amp; Access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These questions determine the entire authentication and permissions architecture.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user roles are needed? (e.g. Patient, Clinician, Clinic Admin, Super Admin)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determines the role-based access control (RBAC) model and how many distinct portal views we need to build.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 this a single-clinician practice or multi-clinician / multi-clinic setup?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Affects data isolation, patient assignment, and whether we need clinic/team management features.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Does the patient have their own portal login, or does clinic staff enter data on their behalf?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single biggest architectural question. A patient-facing portal doubles the UI surface area and adds consent/data-sharing considerations.</w:t>
      </w:r>
    </w:p>
    <w:p>
      <w:pPr>
        <w:pStyle w:val="Heading2"/>
      </w:pPr>
      <w:r>
        <w:rPr>
          <w:rFonts w:ascii="Arial" w:cs="Arial" w:eastAsia="Arial" w:hAnsi="Arial"/>
        </w:rPr>
        <w:t xml:space="preserve">4.2 Diary &amp; Data Entry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These determine the diary module’s input flows and who interacts with what.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 enters the daily diary data — patient only, clinician only, or both?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both, we need a shared data model with edit-tracking so clinicians can see who entered/modified what.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paper diary upload: who does the upload — patient scans and uploads, or clinic admin staff?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OCR extraction, who reviews/corrects the verification screen — clinician, admin, or patient?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 there a specific paper diary format already in use that we need to design OCR around, or can we design the paper form to optimise OCR accuracy?</w:t>
      </w:r>
    </w:p>
    <w:p>
      <w:pPr>
        <w:pStyle w:val="Heading2"/>
      </w:pPr>
      <w:r>
        <w:rPr>
          <w:rFonts w:ascii="Arial" w:cs="Arial" w:eastAsia="Arial" w:hAnsi="Arial"/>
        </w:rPr>
        <w:t xml:space="preserve">4.3 Letter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These determine how the auto-populated letter is generated, reviewed, and exported.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 what point does the clinician trigger auto-population of the follow-up letter — before, during, or after the appointment?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 the clinician edit the auto-populated letter sections, or is it read-only until exported?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Should the system auto-select the follow-up template based on the patient’s diagnosis on file, or does the clinician manually choose from the 7 templates?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final export format — DOCX, PDF, both? Does it need to integrate with an existing clinical system (e.g. EMIS, SystmOne)?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 there an existing initial consultation (11-section) letter template document that we should also receive, or is only the follow-up guidance in scope for now?</w:t>
      </w:r>
    </w:p>
    <w:p>
      <w:pPr>
        <w:pStyle w:val="Heading2"/>
      </w:pPr>
      <w:r>
        <w:rPr>
          <w:rFonts w:ascii="Arial" w:cs="Arial" w:eastAsia="Arial" w:hAnsi="Arial"/>
        </w:rPr>
        <w:t xml:space="preserve">4.4 Graphs &amp; Visualisation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Should graphs be visible to patients in their portal view, or clinician-only?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 all 8 graphs inserted into letters automatically, or does the clinician select which graphs to include?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many months of historical data should the trend view show (the spec mentions 2–6 months)?</w:t>
      </w:r>
    </w:p>
    <w:p>
      <w:pPr>
        <w:pStyle w:val="Heading2"/>
      </w:pPr>
      <w:r>
        <w:rPr>
          <w:rFonts w:ascii="Arial" w:cs="Arial" w:eastAsia="Arial" w:hAnsi="Arial"/>
        </w:rPr>
        <w:t xml:space="preserve">4.5 AI Chatbot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intended scope of the chatbot — guideline Q&amp;A only, or also patient-facing queries?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Should it reference only the uploaded guideline library, or also external evidence (PubMed, NICE website, etc.)?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Does the chatbot need to cite specific guideline sections in its answers?</w:t>
      </w:r>
    </w:p>
    <w:p>
      <w:pPr>
        <w:pStyle w:val="Heading2"/>
      </w:pPr>
      <w:r>
        <w:rPr>
          <w:rFonts w:ascii="Arial" w:cs="Arial" w:eastAsia="Arial" w:hAnsi="Arial"/>
        </w:rPr>
        <w:t xml:space="preserve">4.6 Infrastructure &amp; Compliance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Will this portal handle real patient data (NHS numbers, names, clinical records)? If so, what is the data governance framework — NHS DSPT, ISO 27001, or other?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 the initial build a demo/prototype for evaluation, or a production system from day one?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 there any existing systems this needs to integrate with (e.g. NHS Spine, EMIS, SystmOne, specific cloud hosting requirements)?</w:t>
      </w:r>
    </w:p>
    <w:p>
      <w:pPr>
        <w:pBdr>
          <w:bottom w:val="single" w:color="0E7C7B" w:sz="4" w:space="1"/>
        </w:pBdr>
        <w:spacing w:before="200" w:after="200"/>
      </w:pP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</w:rPr>
        <w:t xml:space="preserve">5. Proposed Phased Roadmap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roadmap assumes a demo-first strategy. The exact timeline will be refined after client answers are received.</w:t>
      </w:r>
    </w:p>
    <w:p>
      <w:pPr>
        <w:pStyle w:val="Heading2"/>
      </w:pPr>
      <w:r>
        <w:rPr>
          <w:rFonts w:ascii="Arial" w:cs="Arial" w:eastAsia="Arial" w:hAnsi="Arial"/>
        </w:rPr>
        <w:t xml:space="preserve">Phase 0: Client Clarification (Now)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clarifying questions (Section 4) to client.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Receive answers and refine scope.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existing GitHub repo and assess current codebase state.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Estimated duration: 3–5 days depending on client response time.</w:t>
      </w:r>
    </w:p>
    <w:p>
      <w:pPr>
        <w:pStyle w:val="Heading2"/>
      </w:pPr>
      <w:r>
        <w:rPr>
          <w:rFonts w:ascii="Arial" w:cs="Arial" w:eastAsia="Arial" w:hAnsi="Arial"/>
        </w:rPr>
        <w:t xml:space="preserve">Phase 1: Guideline &amp; Evidence Library (Week 1–2)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Ingest all 13 guideline documents into structured data model (JSON/MDX/database).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searchable, browsable guideline library UI.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Ingest 2 evidence library documents with two-panel layout.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as standalone module — earliest demoable feature.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Scope AI chatbot integration (RAG pipeline over guideline content).</w:t>
      </w:r>
    </w:p>
    <w:p>
      <w:pPr>
        <w:pStyle w:val="Heading2"/>
      </w:pPr>
      <w:r>
        <w:rPr>
          <w:rFonts w:ascii="Arial" w:cs="Arial" w:eastAsia="Arial" w:hAnsi="Arial"/>
        </w:rPr>
        <w:t xml:space="preserve">Phase 2: Diary Entry System (Week 2–4)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daily diary entry form matching the spec’s field definitions.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monthly review summary auto-calculation.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8-graph auto-generation (Chart.js or Recharts).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clinician review mode (raw entries + computed metrics + graphs side-by-side).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Red-flag alert logic and threshold-based routing.</w:t>
      </w:r>
    </w:p>
    <w:p>
      <w:pPr>
        <w:pStyle w:val="Heading2"/>
      </w:pPr>
      <w:r>
        <w:rPr>
          <w:rFonts w:ascii="Arial" w:cs="Arial" w:eastAsia="Arial" w:hAnsi="Arial"/>
        </w:rPr>
        <w:t xml:space="preserve">Phase 3: Letter Engine (Week 3–5)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7 follow-up letter templates in the portal.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auto-population from diary computed fields.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 panel insertion into letters.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Template selection logic (auto-suggest based on diagnosis + manual override).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Quality checklist validation before export.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to DOCX/PDF.</w:t>
      </w:r>
    </w:p>
    <w:p>
      <w:pPr>
        <w:pStyle w:val="Heading2"/>
      </w:pPr>
      <w:r>
        <w:rPr>
          <w:rFonts w:ascii="Arial" w:cs="Arial" w:eastAsia="Arial" w:hAnsi="Arial"/>
        </w:rPr>
        <w:t xml:space="preserve">Phase 4: Paper Upload &amp; OCR (Week 4–6)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paper diary upload interface.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OCR/structured form recognition pipeline.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Verification screen (extracted values side-by-side with scanned original).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Feed verified data into same compute → graph → letter pipeline.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Scanned original stored for audit.</w:t>
      </w:r>
    </w:p>
    <w:p>
      <w:pPr>
        <w:pStyle w:val="Heading2"/>
      </w:pPr>
      <w:r>
        <w:rPr>
          <w:rFonts w:ascii="Arial" w:cs="Arial" w:eastAsia="Arial" w:hAnsi="Arial"/>
        </w:rPr>
        <w:t xml:space="preserve">Phase 5: AI Chatbot &amp; Polish (Week 5–7)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RAG-based chatbot over guideline library content.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Citation support (link to specific guideline sections).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Longitudinal trend views (multi-month comparison).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Patient-facing views (if in scope per client answers).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End-to-end testing, security review, deployment.</w:t>
      </w:r>
    </w:p>
    <w:p>
      <w:pPr>
        <w:pBdr>
          <w:bottom w:val="single" w:color="0E7C7B" w:sz="4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Tech Stack Notes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Based on the existing project setup and the requirements identified: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Frontend: Next.js (App Router), TypeScript, Tailwind CSS / DaisyUI — already in place.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Auth: Firebase Auth — already in place. Will need role-based claims for multi-role access.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Database: MongoDB Atlas — already in place. Diary data model, guideline content, and letter templates all fit a document-oriented store.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Charts: Recharts or Chart.js for the 8-graph pack. Must support PNG export for letter embedding.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OCR: Cloud-based OCR service (Google Vision API, Azure Document Intelligence, or AWS Textract) for paper diary upload.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Chatbot: RAG pipeline using vector embeddings of guideline content + LLM for Q&amp;A. Could use OpenAI, Anthropic, or similar.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Letter Export: Server-side DOCX generation (docx-js or similar) + PDF conversion.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Hosting: Vercel — already in place.</w:t>
      </w:r>
    </w:p>
    <w:p>
      <w:pPr>
        <w:pBdr>
          <w:bottom w:val="single" w:color="0E7C7B" w:sz="4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7. Immediate Next Steps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Action items before development can begin: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client the clarifying questions from Section 4 and get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the existing GitHub repo to assess current codebase state and what can be reused.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whether the initial consultation (11-section) letter template exists as a separate document we need.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demo-first or production-first build strategy with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answers received: produce UX wireframes for the diary entry flow and clinician review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answers received: produce data model schema for diary entries, computed fields, and letter templates.</w:t>
      </w:r>
    </w:p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 Confidential — Prepared 23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Headache Clinic Portal — Project Planning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2026-03-23T01:27:20.728Z</dcterms:created>
  <dcterms:modified xsi:type="dcterms:W3CDTF">2026-03-23T01:27:20.729Z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