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5FA" w:rsidRDefault="00B43899">
      <w:pPr>
        <w:pStyle w:val="Title"/>
        <w:jc w:val="center"/>
      </w:pPr>
      <w:r>
        <w:t>Migraine latest evidence V1</w:t>
      </w:r>
    </w:p>
    <w:p w:rsidR="001755FA" w:rsidRDefault="00B43899">
      <w:pPr>
        <w:pStyle w:val="Subtitle"/>
        <w:jc w:val="center"/>
      </w:pPr>
      <w:r>
        <w:t>Unified searchable clinical briefing based on the uploaded summary documents</w:t>
      </w:r>
    </w:p>
    <w:p w:rsidR="001755FA" w:rsidRDefault="001755F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1755FA">
        <w:trPr>
          <w:jc w:val="center"/>
        </w:trPr>
        <w:tc>
          <w:tcPr>
            <w:tcW w:w="10080" w:type="dxa"/>
            <w:shd w:val="clear" w:color="auto" w:fill="EAF1FB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755FA" w:rsidRDefault="00B43899">
            <w:pPr>
              <w:rPr>
                <w:rFonts w:hint="eastAsia"/>
              </w:rPr>
            </w:pPr>
            <w:r>
              <w:t>Purpose: quick-reference clinical summaries of recent migraine papers and guideline-oriented updates.</w:t>
            </w:r>
          </w:p>
          <w:p w:rsidR="001755FA" w:rsidRDefault="00B43899">
            <w:pPr>
              <w:rPr>
                <w:rFonts w:hint="eastAsia"/>
              </w:rPr>
            </w:pPr>
            <w:r>
              <w:t>Structure: each paper has a left summary column</w:t>
            </w:r>
            <w:r>
              <w:t xml:space="preserve"> and a right practical application panel.</w:t>
            </w:r>
          </w:p>
          <w:p w:rsidR="001755FA" w:rsidRDefault="00B43899">
            <w:pPr>
              <w:rPr>
                <w:rFonts w:hint="eastAsia"/>
              </w:rPr>
            </w:pPr>
            <w:r>
              <w:t>Use: headings are searchable so clinicians can jump quickly to a topic, therapy, device, or diagnostic theme.</w:t>
            </w:r>
          </w:p>
          <w:p w:rsidR="001755FA" w:rsidRDefault="00B43899">
            <w:pPr>
              <w:rPr>
                <w:rFonts w:hint="eastAsia"/>
              </w:rPr>
            </w:pPr>
            <w:r>
              <w:t>Scope: this is an application-focused synthesis, not a full critical appraisal.</w:t>
            </w:r>
          </w:p>
        </w:tc>
      </w:tr>
    </w:tbl>
    <w:p w:rsidR="001755FA" w:rsidRDefault="001755FA">
      <w:pPr>
        <w:rPr>
          <w:rFonts w:hint="eastAsia"/>
        </w:rPr>
      </w:pPr>
    </w:p>
    <w:p w:rsidR="001755FA" w:rsidRDefault="00B43899">
      <w:pPr>
        <w:pStyle w:val="Heading1"/>
      </w:pPr>
      <w:r>
        <w:t>Included papers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Remote</w:t>
      </w:r>
      <w:r>
        <w:t xml:space="preserve"> electrical neuromodulation (REN) for acute migraine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Migraine with aura: what it looks like and why it matters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Atogepant for migraine prevention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Pharmacogenetics of triptan non-response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Acupuncture versus standard medical care for migraine prophylaxis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Beha</w:t>
      </w:r>
      <w:r>
        <w:t>vioral interventions for migraine prevention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Greater occipital nerve block for migraine: umbrella review, systematic review, and meta-analysis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Comprehensive safety analysis of adverse events associated with eptinezumab in migraine treatment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International H</w:t>
      </w:r>
      <w:r>
        <w:t>eadache Society evidence-based guidelines on the use of non-invasive neuromodulation devices for the acute and preventive treatment of migraine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Evidence-based guidelines for the pharmacological treatment of migraine (summary version)</w:t>
      </w:r>
    </w:p>
    <w:p w:rsidR="001755FA" w:rsidRDefault="001755FA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 xml:space="preserve">1. Remote electrical </w:t>
      </w:r>
      <w:r>
        <w:t>neuromodulation (REN) for acute migraine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Alnajjar et al. BMC Neurology,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large systematic review/meta-analysis supports REN as a pragmatic, home-based acute option for migraine, particularly when patients want a non-drug th</w:t>
            </w:r>
            <w:r>
              <w:t>erapy or have contraindications, poor tolerance, or overuse risk with acute medications.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Included 12 studies with 9,912 patients.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At 2 hours, 64% achieved pain relief and 22% were pain-free.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Sustained pain relief at 24 hours was 59%, an</w:t>
            </w:r>
            <w:r>
              <w:t>d sustained pain-free status at 24 hours was 54%.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Functional improvement at 2 hours occurred in 59%, and the most bothersome symptom resolved in about 55%.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 xml:space="preserve">In comparative analyses, REN improved 2-hour pain freedom versus control/sham, while device-related </w:t>
            </w:r>
            <w:r>
              <w:t>adverse events remained low.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Most evidence addresses acute treatment rather than replacing preventive therapy. Device access, cost, and adherence still matter in real-world use.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Consider for patients with episodic or c</w:t>
            </w:r>
            <w:r>
              <w:t>hronic migraine who prefer non-pharmacologic acute treatment.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Useful when triptans are contraindicated, poorly tolerated, or contributing to medication overuse.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Potentially attractive for adolescents and for patients prioritising portability and self-admin</w:t>
            </w:r>
            <w:r>
              <w:t>istration.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Explain that benefit is meaningful but not universal; set expectations similarly to other acute therapies.</w:t>
            </w:r>
          </w:p>
        </w:tc>
      </w:tr>
    </w:tbl>
    <w:p w:rsidR="001755FA" w:rsidRDefault="001755FA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>2. Migraine with aura: what it looks like and why it matters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Joppeková et al. The Journal of Headache and Pain,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 xml:space="preserve">WHY THIS PAPER </w:t>
            </w:r>
            <w:r>
              <w:rPr>
                <w:b/>
                <w:color w:val="1B4A7D"/>
              </w:rPr>
              <w:t>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review is especially useful diagnostically. It helps clinicians recognise the breadth of aura phenotypes and avoid overcalling TIA, seizure, or ocular disease while still respecting red flags.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Migraine aura affects up to 30</w:t>
            </w:r>
            <w:r>
              <w:t>% of people with migraine and is usually visual, but may also be sensory, speech/language, motor, brainstem, or retinal.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 xml:space="preserve">Typical aura symptoms are gradual, fully reversible, and usually last up to 60 minutes, but prolonged visual aura beyond 60 minutes is </w:t>
            </w:r>
            <w:r>
              <w:t>not rare in practice.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The pathophysiologic anchor remains cortical spreading depression with downstream neurovascular and trigeminovascular changes.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 stronger hereditary signal is described for migraine with aura than for migraine without aura, with recen</w:t>
            </w:r>
            <w:r>
              <w:t>t migraine-aura-specific loci including HMOX2, CACNA1A, and MPPED2.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Differential diagnosis remains central: TIA/stroke, epilepsy, inflammatory CNS disease, and ocular causes of monocular visual loss must still be considered.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 xml:space="preserve">The review is </w:t>
            </w:r>
            <w:r>
              <w:t>broad and conceptually rich, but evidence for therapies that specifically target aura itself remains limited.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 chronology: gradual spread, positive then negative symptoms, and full reversibility support aura.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 xml:space="preserve">Be careful with </w:t>
            </w:r>
            <w:r>
              <w:t>monocular visual symptoms; retinal migraine is uncommon and misdiagnosis risk is high.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If presentation is abrupt, fixed, prolonged, or atypical for the patient, investigate for stroke/TIA or other secondary causes.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Useful when documenting complex aura phen</w:t>
            </w:r>
            <w:r>
              <w:t>otype in clinic letters.</w:t>
            </w:r>
          </w:p>
        </w:tc>
      </w:tr>
    </w:tbl>
    <w:p w:rsidR="001755FA" w:rsidRDefault="001755FA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>
      <w:bookmarkStart w:id="0" w:name="_GoBack"/>
      <w:bookmarkEnd w:id="0"/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>3. Atogepant for migraine prevention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Ladhwani et al. BMC Neurology,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meta-analysis reinforces atogepant as an effective oral preventive option across episodic and chronic migraine, with the main t</w:t>
            </w:r>
            <w:r>
              <w:t>rade-off being gastrointestinal tolerability rather than major safety signals elsewhere.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Six randomised trials with 4,052 patients were included.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Atogepant improved monthly migraine days over 12 weeks across 10 mg, 30 mg, and 60 mg dosi</w:t>
            </w:r>
            <w:r>
              <w:t>ng.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It also reduced monthly headache days, increased the proportion achieving at least 50% reduction in monthly migraine days, and reduced acute medication use days.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Treatment-emergent adverse events were increased, driven mainly by gastrointestinal effect</w:t>
            </w:r>
            <w:r>
              <w:t>s such as constipation and nausea.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Dose should be matched to patient context rather than assuming higher dose is always preferable.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 xml:space="preserve">The pooled analysis supports benefit, but the dose-response question and long-term comparative positioning </w:t>
            </w:r>
            <w:r>
              <w:t>against other modern preventives still need refinement.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 strong oral option for patients who want prevention without injectables.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Discuss constipation and nausea upfront and monitor early tolerability.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Useful in both episodic and chro</w:t>
            </w:r>
            <w:r>
              <w:t>nic migraine; chronic cases should still be reviewed for central sensitisation, allodynia, and comorbid medication overuse.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Dose selection should balance efficacy goals with tolerability and patient preference.</w:t>
            </w:r>
          </w:p>
        </w:tc>
      </w:tr>
    </w:tbl>
    <w:p w:rsidR="001755FA" w:rsidRDefault="001755FA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>4. Pharmacogenetics of triptan non-response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Andreata et al. Brain and Behavior,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 xml:space="preserve">This paper is clinically useful as a future-facing review: it does not give a ready-to-use genetic test for routine practice, but it clarifies why some patients repeatedly fail triptans and </w:t>
            </w:r>
            <w:r>
              <w:t>why precision treatment pathways may become relevant.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About 40% of patients are described as non-responsive to triptans.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Nine studies were included in the final analysis.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Overall pooled analysis did not confirm one robust standalone gen</w:t>
            </w:r>
            <w:r>
              <w:t>etic predictor.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Subgroup findings suggested associations between triptan non-response and polymorphisms involving SLC6A4, 5-HT1B, and COMT; CALCA and PRDM16 had moderate evidence, while GRIA1 and SCN1A had limited evidence.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 xml:space="preserve">Polygenic risk scores and </w:t>
            </w:r>
            <w:r>
              <w:t>combined genetic approaches may ultimately be more clinically useful than single-marker testing.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 xml:space="preserve">The literature is heterogeneous, small, and methodologically inconsistent. Current findings are hypothesis-generating rather than immediately </w:t>
            </w:r>
            <w:r>
              <w:t>practice-changing.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Do not use this paper to justify routine genetic testing yet.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 it to explain to refractory patients that repeated triptan failure may reflect biology, not simply poor adherence or poor timing.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If a patient fails s</w:t>
            </w:r>
            <w:r>
              <w:t>everal triptans, move on pragmatically to gepants, ditans, REN, or better preventive optimisation rather than endlessly rotating similar drugs.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Precision medicine is the future direction, but present-day practice still relies on phenotype and treatment his</w:t>
            </w:r>
            <w:r>
              <w:t>tory.</w:t>
            </w:r>
          </w:p>
        </w:tc>
      </w:tr>
    </w:tbl>
    <w:p w:rsidR="001755FA" w:rsidRDefault="001755FA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>5. Acupuncture versus standard medical care for migraine prophylaxis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Pistoia et al. European Journal of Neurology,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 xml:space="preserve">This review supports acupuncture as a credible adjunctive preventive strategy, mainly for improving </w:t>
            </w:r>
            <w:r>
              <w:t>quality of life, reducing analgesic use, and offering a lower-burden option when standard preventives are poorly tolerated or unsuitable.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Fifteen studies were eligible.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 xml:space="preserve">Compared with standard medical care, acupuncture did not show a </w:t>
            </w:r>
            <w:r>
              <w:t>statistically significant advantage for reducing migraine days or pain intensity overall.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It did reduce analgesic use and improved quality of life.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The authors position acupuncture as an adjunct rather than a replacement for established pharmacologic preve</w:t>
            </w:r>
            <w:r>
              <w:t>ntion.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Benefits may be particularly relevant where tolerability, patient preference, pregnancy/adolescence, or multimorbidity limit standard preventive options.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Evidence is complicated by protocol heterogeneity, sham-design issues, and lac</w:t>
            </w:r>
            <w:r>
              <w:t>k of head-to-head comparison with newer CGRP-targeted preventives.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Reasonable to offer as an add-on in patients seeking non-drug prevention.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Particularly useful in patients with medication intolerance, strong preference for integrative</w:t>
            </w:r>
            <w:r>
              <w:t xml:space="preserve"> care, or incomplete response to standard prevention.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Set expectations clearly: likely improvement in burden and medication use, but not a guaranteed large reduction in migraine frequency.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Access, cost, and availability are often the real determinants of u</w:t>
            </w:r>
            <w:r>
              <w:t>ptake.</w:t>
            </w:r>
          </w:p>
        </w:tc>
      </w:tr>
    </w:tbl>
    <w:p w:rsidR="001755FA" w:rsidRDefault="001755FA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>6. Behavioral interventions for migraine prevention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Treadwell et al. Headache,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 xml:space="preserve">This is one of the most practice-relevant summaries for clinicians trying to integrate behavioral care into migraine prevention pathways </w:t>
            </w:r>
            <w:r>
              <w:t>for adults and young people.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Included 50 adult trials (6,024 adults) and 13 pediatric/adolescent trials (1,444 children/adolescents).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adults, CBT, relaxation training, and mindfulness-based therapies may reduce migraine/headache fre</w:t>
            </w:r>
            <w:r>
              <w:t>quency.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Education alone that targets behavior may improve disability in adults.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children/adolescents, CBT plus biofeedback plus relaxation training may reduce attack frequency and disability more than education alone.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Evidence quality was generally low</w:t>
            </w:r>
            <w:r>
              <w:t xml:space="preserve"> because many studies were small, multicomponent, and at high risk of bias.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The evidence base supports use, but component-specific dosing, ideal delivery format, and the size of benefit versus expectation/placebo effects remain incompletel</w:t>
            </w:r>
            <w:r>
              <w:t>y defined.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Behavioral treatment should be considered a real preventive modality, not merely supportive counselling.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Adults: CBT, relaxation, and mindfulness are reasonable adjuncts or stand-alone options for selected patients.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Children</w:t>
            </w:r>
            <w:r>
              <w:t>/adolescents: structured CBT-biofeedback-relaxation packages appear especially relevant.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Useful when patients want to reduce medication exposure or when comorbid stress, sleep disturbance, anxiety, or coping problems are prominent.</w:t>
            </w:r>
          </w:p>
        </w:tc>
      </w:tr>
    </w:tbl>
    <w:p w:rsidR="001755FA" w:rsidRDefault="001755FA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 xml:space="preserve">7. Greater occipital </w:t>
      </w:r>
      <w:r>
        <w:t>nerve block for migraine: umbrella review, systematic review, and meta-analysis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Atraszkiewicz D, Uenal E, Bassett P, et al. Cephalalgia.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WHAT THIS PAPER ASKED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Does greater occipital nerve block (GONB) have reliable evidence for acute or preventive tr</w:t>
            </w:r>
            <w:r>
              <w:t>eatment of migraine, and how trustworthy is the existing review literature?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STUDY DESIGN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Umbrella review of 9 prior systematic reviews plus an independent systematic review of 16 RCTs (930 patients), with quantitative meta-analysis of 7 RCTs (401 patients)</w:t>
            </w:r>
            <w:r>
              <w:t>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CLINICALLY RELEVANT FINDINGS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Most prior systematic reviews were methodologically weak or contained pooling/extraction errors, so the older review literature should be interpreted cautiously.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With moderate certainty, local anaesthetic GONB reduced headach</w:t>
            </w:r>
            <w:r>
              <w:t>e severity in acute migraine over short follow-up (&lt;=48 hours), with signal seen as early as 30 minutes in some trials.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With low certainty, weekly bilateral local anaesthetic GONB for chronic migraine reduced headache severity at one month and reduced mont</w:t>
            </w:r>
            <w:r>
              <w:t>hly headache days by about 4.5 days at one month.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Evidence was insufficient to draw firm conclusions for steroid-only GONB, local anaesthetic plus steroid GONB, unilateral GONB, or episodic migraine prevention.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No serious adverse effects were identified in</w:t>
            </w:r>
            <w:r>
              <w:t xml:space="preserve"> the analysed studies. Reported problems were mainly injection-site pain/bleeding, dizziness/vertigo, and neck discomfort; steroid injections were rarely associated with cutaneous atrophy or alopecia.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BOTTOM LINE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paper supports GONB mainly as a short-</w:t>
            </w:r>
            <w:r>
              <w:t>term or bridging option rather than a clearly established disease-modifying strategy.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 PANEL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Most defensible use: short-term rescue or bridge treatment when evidence-based alternatives are unavailable, unsuitable, or delayed.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Best suppo</w:t>
            </w:r>
            <w:r>
              <w:t>rted scenario: local anaesthetic GONB for acute migraine relief, and weekly bilateral local anaesthetic GONB for selected chronic migraine patients.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Do not overstate durability: sustained benefit beyond the short term remains uncertain.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 xml:space="preserve">Steroid use is not </w:t>
            </w:r>
            <w:r>
              <w:t>clearly supported here; avoid assuming steroids improve efficacy.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Counselling point: the procedure appears generally safe, but common local adverse effects should be discussed.</w:t>
            </w:r>
          </w:p>
        </w:tc>
      </w:tr>
    </w:tbl>
    <w:p w:rsidR="001755FA" w:rsidRDefault="001755FA"/>
    <w:p w:rsidR="00B43899" w:rsidRDefault="00B43899"/>
    <w:p w:rsidR="00B43899" w:rsidRDefault="00B43899"/>
    <w:p w:rsidR="00B43899" w:rsidRDefault="00B43899"/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 xml:space="preserve">8. Comprehensive safety analysis of adverse events associated with </w:t>
      </w:r>
      <w:r>
        <w:t>eptinezumab in migraine treatment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Chen J, Huang S, Chen Y, et al. Scientific Reports.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WHAT THIS PAPER ASKED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What safety signals are seen with eptinezumab in real-world reporting and randomised trials, and how should clinicians interpret them?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STUDY D</w:t>
            </w:r>
            <w:r>
              <w:rPr>
                <w:b/>
                <w:color w:val="1B4A7D"/>
              </w:rPr>
              <w:t>ESIGN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Combined pharmacovigilance study using FAERS (5,306 adverse-event reports, 2020-2024) plus systematic review/meta-analysis of 6 clinical trials (n=3,148).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CLINICALLY RELEVANT FINDINGS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In the meta-analysis, overall adverse-event risk was not higher th</w:t>
            </w:r>
            <w:r>
              <w:t>an placebo (RR 1.02, 95% CI 0.95-1.10).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Serious adverse events were more frequent than placebo in pooled trial data (RR 2.87, 95% CI 1.27-6.48), although absolute event numbers were still low and event types were heterogeneous.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Upper respiratory tract infe</w:t>
            </w:r>
            <w:r>
              <w:t>ctions were more common with eptinezumab (RR 1.49, P=0.04); dizziness, nausea/vomiting, and fatigue were not significantly increased.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FAERS identified strong reporting signals for 'drug ineffective' and 'migraine', which may reflect perceived lack of effic</w:t>
            </w:r>
            <w:r>
              <w:t>acy as much as toxicity.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Important real-world safety signals included anaphylactic reactions and rare reports such as increased intracranial pressure; most adverse-event reports occurred within the first treatment month.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BOTTOM LINE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Routine use remains rea</w:t>
            </w:r>
            <w:r>
              <w:t>sonable, but clinicians should monitor carefully around infusion timing, early hypersensitivity events, and uncommon serious complications.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 PANEL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 the paper mainly for safety counselling, not efficacy selection.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 xml:space="preserve">Highest-yield </w:t>
            </w:r>
            <w:r>
              <w:t>monitoring window: the first month after infusion.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Discuss infusion or hypersensitivity reactions explicitly, especially with prior biologic reactions.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Remember that FAERS signals are hypothesis-generating, not proof of causation.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Upper respiratory infecti</w:t>
            </w:r>
            <w:r>
              <w:t>ons may be slightly more frequent; most common adverse events were not clearly increased versus placebo.</w:t>
            </w:r>
          </w:p>
        </w:tc>
      </w:tr>
    </w:tbl>
    <w:p w:rsidR="001755FA" w:rsidRDefault="001755FA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>9. International Headache Society evidence-based guidelines on the use of non-invasive neuromodulation devices for the acute and preventive treatment</w:t>
      </w:r>
      <w:r>
        <w:t xml:space="preserve"> of migraine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Yuan H, Orr SL, Al-Karagholi MAM, et al. Cephalalgia.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WHAT THIS PAPER ASKED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Which non-invasive neuromodulation devices can be recommended for acute and preventive migraine treatment, and how strong is that evidence?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STUDY DESIGN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Systemat</w:t>
            </w:r>
            <w:r>
              <w:t>ic review across six databases; 15 eligible randomised controlled trials used for GRADE-based recommendations.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CLINICALLY RELEVANT FINDINGS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acute migraine treatment, the panel issued weak recommendations in favour of SAVI Dual, Cefaly, Relivion, and Ne</w:t>
            </w:r>
            <w:r>
              <w:t>rivio.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preventive migraine treatment, the panel issued weak recommendations in favour of gammaCore Sapphire, Cefaly, and Nerivio.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 xml:space="preserve">Several cleared devices received no recommendation because evidence was too limited, too imprecise, or lacked eligible </w:t>
            </w:r>
            <w:r>
              <w:t>trials.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Evidence quality ranged from very low to moderate; many recommendations remained weak because of small study sizes, methodological limitations, and real-world issues such as cost, access, and adherence.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 xml:space="preserve">The authors emphasise that these devices are </w:t>
            </w:r>
            <w:r>
              <w:t>generally safe, well tolerated, and free of drug interactions, and they provide expert-consensus suggestions for broader scenarios such as paediatric migraine, vestibular migraine, chronic migraine, menstrual migraine, and medication overuse headache.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BOTT</w:t>
            </w:r>
            <w:r>
              <w:rPr>
                <w:b/>
                <w:color w:val="1B4A7D"/>
              </w:rPr>
              <w:t>OM LINE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is a 'consider as an option' guideline rather than a standard-of-care mandate.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 PANEL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Think of neuromodulation as an adjunct or alternative, especially when drug therapy is contraindicated, poorly tolerated, or undesired.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Best evidence in prevention is still only weak/conditional; set expectations accordingly.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Good fit: patients who want low systemic adverse-effect burden or who are concerned about drug interactions.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Practical barriers to address before prescribing: adheren</w:t>
            </w:r>
            <w:r>
              <w:t>ce, device technique, cost, and insurance coverage.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Useful clinic phrasing: supported as an option, not yet supported as a clearly superior first-line standard.</w:t>
            </w:r>
          </w:p>
        </w:tc>
      </w:tr>
    </w:tbl>
    <w:p w:rsidR="001755FA" w:rsidRDefault="001755FA"/>
    <w:p w:rsidR="00B43899" w:rsidRDefault="00B43899"/>
    <w:p w:rsidR="00B43899" w:rsidRDefault="00B43899"/>
    <w:p w:rsidR="00B43899" w:rsidRDefault="00B43899"/>
    <w:p w:rsidR="00B43899" w:rsidRDefault="00B43899"/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>10. Evidence-based guidelines for the pharmacological treatment of migraine (summary version)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Ornello R, Caponnetto V, Ahmed F, et al. Cephalalgia.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WHAT THIS PAPER ASKED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How should current migraine pharmacotherapy be organised across acute treatment and prevention, and which preventive agents currently have the strongest evidence?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 xml:space="preserve">STUDY </w:t>
            </w:r>
            <w:r>
              <w:rPr>
                <w:b/>
                <w:color w:val="1B4A7D"/>
              </w:rPr>
              <w:t>DESIGN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SISC-IHS guideline summary using systematic review of randomised controlled trials, quantitative evidence synthesis, GRADE methodology, and additional expert-based clinical opinions.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CLINICALLY RELEVANT FINDINGS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The guideline covers acute therapy (N</w:t>
            </w:r>
            <w:r>
              <w:t>SAIDs/COX-2 inhibitors, triptans, paracetamol, combination analgesics, antiemetics, opioids, ditans, acute gepants) and preventive therapy (antidepressants, antiseizure medicines, beta-blockers, calcium-channel/blood-pressure agents, botulinum toxin, preve</w:t>
            </w:r>
            <w:r>
              <w:t>ntive gepants, and monoclonal antibodies targeting the CGRP pathway).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episodic migraine prevention, strong recommendations in favour include atogepant 60 mg, erenumab 70/140 mg, fremanezumab monthly or quarterly, galcanezumab 120 mg monthly, topiramate</w:t>
            </w:r>
            <w:r>
              <w:t xml:space="preserve"> 100-200 mg, and eptinezumab 100/300 mg quarterly intravenous.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chronic migraine prevention, strong recommendations in favour include onabotulinumtoxinA, atogepant 60 mg, eptinezumab 100/300 mg, erenumab 70/140 mg, fremanezumab monthly or quarterly, and</w:t>
            </w:r>
            <w:r>
              <w:t xml:space="preserve"> galcanezumab 120 mg monthly.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Older preventive drugs remain clinically relevant, but many were studied in older trials that do not meet modern evidentiary standards; some therefore receive only weak recommendations despite longstanding use.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The document is</w:t>
            </w:r>
            <w:r>
              <w:t xml:space="preserve"> particularly helpful for treatment organisation: it separates evidence-based recommendations from expert opinion and highlights that newer therapies often have stronger evidence because of better trial quality as well as efficacy.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BOTTOM LINE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guideli</w:t>
            </w:r>
            <w:r>
              <w:t>ne helps clinicians structure escalation logically while still individualising around comorbidity, tolerability, cost, and access.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 PANEL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 this paper as a framework document for drug-class prioritisation and escalation.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High-evidence</w:t>
            </w:r>
            <w:r>
              <w:t xml:space="preserve"> preventive options are concentrated among newer CGRP-pathway agents, onabotulinumtoxinA for chronic migraine, and topiramate.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Do not dismiss older drugs entirely; many remain reasonable when cost, access, or comorbidity make them attractive.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Helpful consu</w:t>
            </w:r>
            <w:r>
              <w:t>ltation phrase: evidence strength and real-world suitability are not the same thing.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Best role in clinic: anchor discussions about first preventive choice, next-step escalation, and why some older therapies sit lower in the evidence hierarchy.</w:t>
            </w:r>
          </w:p>
        </w:tc>
      </w:tr>
    </w:tbl>
    <w:p w:rsidR="001755FA" w:rsidRDefault="00B43899">
      <w:pPr>
        <w:rPr>
          <w:rFonts w:hint="eastAsia"/>
        </w:rPr>
      </w:pPr>
      <w:r>
        <w:br w:type="page"/>
      </w:r>
    </w:p>
    <w:p w:rsidR="001755FA" w:rsidRDefault="00B43899">
      <w:pPr>
        <w:pStyle w:val="Heading1"/>
      </w:pPr>
      <w:r>
        <w:lastRenderedPageBreak/>
        <w:t xml:space="preserve">Source </w:t>
      </w:r>
      <w:r>
        <w:t>documents used for this unified version</w:t>
      </w:r>
    </w:p>
    <w:p w:rsidR="001755FA" w:rsidRDefault="00B43899">
      <w:pPr>
        <w:pStyle w:val="ListBullet"/>
        <w:rPr>
          <w:rFonts w:hint="eastAsia"/>
        </w:rPr>
      </w:pPr>
      <w:r>
        <w:t>headache_paper_summaries_clinical_2025_v2.docx</w:t>
      </w:r>
    </w:p>
    <w:p w:rsidR="001755FA" w:rsidRDefault="00B43899">
      <w:pPr>
        <w:pStyle w:val="ListBullet"/>
        <w:rPr>
          <w:rFonts w:hint="eastAsia"/>
        </w:rPr>
      </w:pPr>
      <w:r>
        <w:t>headache_paper_clinical_summaries_v2.docx</w:t>
      </w:r>
    </w:p>
    <w:sectPr w:rsidR="001755F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5FA"/>
    <w:rsid w:val="0029639D"/>
    <w:rsid w:val="00326F90"/>
    <w:rsid w:val="00AA1D8D"/>
    <w:rsid w:val="00B4389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00E82"/>
  <w14:defaultImageDpi w14:val="300"/>
  <w15:docId w15:val="{E46588C0-0940-410B-A34E-B446762D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B4A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3C3C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B4A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DC0B35-0E0A-44C8-8206-A359710A8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2931</Words>
  <Characters>16711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Saeedur Rahman</cp:lastModifiedBy>
  <cp:revision>2</cp:revision>
  <dcterms:created xsi:type="dcterms:W3CDTF">2013-12-23T23:15:00Z</dcterms:created>
  <dcterms:modified xsi:type="dcterms:W3CDTF">2026-03-21T00:33:00Z</dcterms:modified>
  <cp:category/>
</cp:coreProperties>
</file>