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3954" w:rsidRDefault="00C75CA8">
      <w:pPr>
        <w:pStyle w:val="Title"/>
        <w:jc w:val="center"/>
      </w:pPr>
      <w:r>
        <w:t>Clinically Relevant Short Summaries of Selected Headache Papers</w:t>
      </w:r>
    </w:p>
    <w:p w:rsidR="00703954" w:rsidRDefault="00C75CA8">
      <w:pPr>
        <w:jc w:val="center"/>
        <w:rPr>
          <w:rFonts w:hint="eastAsia"/>
        </w:rPr>
      </w:pPr>
      <w:r>
        <w:rPr>
          <w:i/>
          <w:color w:val="5A6B72"/>
          <w:sz w:val="22"/>
        </w:rPr>
        <w:t>Searchable briefing document with right-side clinical application panels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703954">
        <w:trPr>
          <w:jc w:val="center"/>
        </w:trPr>
        <w:tc>
          <w:tcPr>
            <w:tcW w:w="9936" w:type="dxa"/>
            <w:shd w:val="clear" w:color="auto" w:fill="EAF4F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703954" w:rsidRDefault="00C75CA8">
            <w:pPr>
              <w:spacing w:after="80"/>
              <w:rPr>
                <w:rFonts w:hint="eastAsia"/>
              </w:rPr>
            </w:pPr>
            <w:r>
              <w:t>Purpose: rapid, clinically usable summaries rather than full critical appraisals.</w:t>
            </w:r>
          </w:p>
          <w:p w:rsidR="00703954" w:rsidRDefault="00C75CA8">
            <w:pPr>
              <w:spacing w:after="80"/>
              <w:rPr>
                <w:rFonts w:hint="eastAsia"/>
              </w:rPr>
            </w:pPr>
            <w:r>
              <w:t xml:space="preserve">Navigation: each paper is a Heading </w:t>
            </w:r>
            <w:r>
              <w:t>1 so it appears in the Word navigation pane/side panel.</w:t>
            </w:r>
          </w:p>
          <w:p w:rsidR="00703954" w:rsidRDefault="00C75CA8">
            <w:pPr>
              <w:spacing w:after="80"/>
              <w:rPr>
                <w:rFonts w:hint="eastAsia"/>
              </w:rPr>
            </w:pPr>
            <w:r>
              <w:t>Layout: the left column summarises the study; the right shaded panel translates findings into day-to-day clinical use.</w:t>
            </w:r>
          </w:p>
        </w:tc>
      </w:tr>
    </w:tbl>
    <w:p w:rsidR="00703954" w:rsidRDefault="00C75CA8">
      <w:pPr>
        <w:pStyle w:val="Heading2"/>
      </w:pPr>
      <w:r>
        <w:t>Included papers</w:t>
      </w:r>
    </w:p>
    <w:p w:rsidR="00703954" w:rsidRDefault="00C75CA8">
      <w:pPr>
        <w:ind w:left="288"/>
        <w:rPr>
          <w:rFonts w:hint="eastAsia"/>
        </w:rPr>
      </w:pPr>
      <w:r>
        <w:rPr>
          <w:b/>
        </w:rPr>
        <w:t xml:space="preserve">• </w:t>
      </w:r>
      <w:r>
        <w:t>Acupuncture for tension-type headache: systematic review and m</w:t>
      </w:r>
      <w:r>
        <w:t>eta-analysis</w:t>
      </w:r>
    </w:p>
    <w:p w:rsidR="00703954" w:rsidRDefault="00C75CA8">
      <w:pPr>
        <w:ind w:left="288"/>
        <w:rPr>
          <w:rFonts w:hint="eastAsia"/>
        </w:rPr>
      </w:pPr>
      <w:r>
        <w:rPr>
          <w:b/>
        </w:rPr>
        <w:t xml:space="preserve">• </w:t>
      </w:r>
      <w:r>
        <w:t>Psychological treatment for tension-type headache: systematic review and meta-analysis</w:t>
      </w:r>
    </w:p>
    <w:p w:rsidR="00703954" w:rsidRDefault="00C75CA8">
      <w:pPr>
        <w:ind w:left="288"/>
        <w:rPr>
          <w:rFonts w:hint="eastAsia"/>
        </w:rPr>
      </w:pPr>
      <w:r>
        <w:rPr>
          <w:b/>
        </w:rPr>
        <w:t xml:space="preserve">• </w:t>
      </w:r>
      <w:r>
        <w:t>Exercise for chronic tension-type headache and chronic migraine: systematic review</w:t>
      </w:r>
    </w:p>
    <w:p w:rsidR="00703954" w:rsidRDefault="00C75CA8">
      <w:pPr>
        <w:ind w:left="288"/>
        <w:rPr>
          <w:rFonts w:hint="eastAsia"/>
        </w:rPr>
      </w:pPr>
      <w:r>
        <w:rPr>
          <w:b/>
        </w:rPr>
        <w:t xml:space="preserve">• </w:t>
      </w:r>
      <w:r>
        <w:t>Pharmacological prophylaxis for tension-type headache: systematic r</w:t>
      </w:r>
      <w:r>
        <w:t>eview and network meta-analysis</w:t>
      </w:r>
    </w:p>
    <w:p w:rsidR="00703954" w:rsidRDefault="00C75CA8">
      <w:pPr>
        <w:rPr>
          <w:rFonts w:hint="eastAsia"/>
        </w:rPr>
      </w:pPr>
      <w:r>
        <w:br w:type="page"/>
      </w:r>
    </w:p>
    <w:p w:rsidR="00703954" w:rsidRDefault="00C75CA8">
      <w:pPr>
        <w:pStyle w:val="Heading1"/>
        <w:spacing w:before="80" w:after="120"/>
      </w:pPr>
      <w:r>
        <w:lastRenderedPageBreak/>
        <w:t>1. Acupuncture for tension-type headache</w:t>
      </w:r>
    </w:p>
    <w:p w:rsidR="00703954" w:rsidRDefault="00C75CA8">
      <w:pPr>
        <w:rPr>
          <w:rFonts w:hint="eastAsia"/>
        </w:rPr>
      </w:pPr>
      <w:r>
        <w:rPr>
          <w:i/>
          <w:color w:val="5A6B72"/>
          <w:sz w:val="20"/>
        </w:rPr>
        <w:t>Lin PT, Su SY, Shih CL. J Oral Facial Pain Headache. 2025.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03954">
        <w:trPr>
          <w:jc w:val="center"/>
        </w:trPr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Why this paper matters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 xml:space="preserve">Useful for clinicians who want a structured answer to the common question of whether acupuncture </w:t>
            </w:r>
            <w:r>
              <w:t>has evidence beyond placebo for TTH. The signal is positive, but the effect size is modest and appears protocol-dependent.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What the paper asked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Does manual acupuncture improve tension-type headache outcomes versus sham acupuncture?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Study design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 xml:space="preserve">Systematic </w:t>
            </w:r>
            <w:r>
              <w:t>review and meta-analysis of 6 randomized controlled trials including 927 patients with mainly chronic TTH; databases searched to August 2024.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Key clinically relevant findings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At 6 weeks after treatment, acupuncture modestly reduced headache frequency ver</w:t>
            </w:r>
            <w:r>
              <w:t>sus sham (SMD −0.23; 95% CI −0.43 to −0.03).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The odds of achieving meaningful headache relief were higher with acupuncture than sham (OR 1.85; 95% CI 1.34 to 2.57).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 xml:space="preserve">Pain reduction was more convincing when treatment lasted more than 1 month or included </w:t>
            </w:r>
            <w:r>
              <w:t>more than 10 sessions (SMD −0.32; 95% CI −0.56 to −0.09).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The evidence base was small and included trials with risk-of-bias concerns, so effect estimates should be interpreted as supportive rather than definitive.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Bottom line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 xml:space="preserve">Acupuncture is a reasonable </w:t>
            </w:r>
            <w:r>
              <w:t>non-drug option for selected TTH patients, especially when patients prefer non-pharmacological treatment or cannot tolerate preventives, but it should be offered with realistic expectations and a defined treatment course.</w:t>
            </w:r>
          </w:p>
        </w:tc>
        <w:tc>
          <w:tcPr>
            <w:tcW w:w="4968" w:type="dxa"/>
            <w:shd w:val="clear" w:color="auto" w:fill="EAF4F4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03954" w:rsidRDefault="00C75CA8">
            <w:pPr>
              <w:spacing w:after="100"/>
              <w:rPr>
                <w:rFonts w:hint="eastAsia"/>
              </w:rPr>
            </w:pPr>
            <w:r>
              <w:rPr>
                <w:b/>
                <w:color w:val="0F4C5C"/>
              </w:rPr>
              <w:t>Clinical application panel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Best-</w:t>
            </w:r>
            <w:r>
              <w:t>fit use: chronic or frequent TTH when standard education, trigger management, and simple preventives are insufficient or poorly tolerated.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Set expectations around a treatment block rather than a single session; this paper suggests benefit is more plausib</w:t>
            </w:r>
            <w:r>
              <w:t>le with &gt;10 sessions or &gt;1 month of treatment.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Do not present acupuncture as a substitute for red-flag assessment or for addressing medication overuse, mood symptoms, sleep, and neck/shoulder contributors.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Practical counselling line: “The evidence sugg</w:t>
            </w:r>
            <w:r>
              <w:t>ests a modest benefit, especially with a complete course, but it is not a guaranteed response.”</w:t>
            </w:r>
          </w:p>
        </w:tc>
      </w:tr>
    </w:tbl>
    <w:p w:rsidR="00703954" w:rsidRDefault="00703954"/>
    <w:p w:rsidR="00C75CA8" w:rsidRDefault="00C75CA8"/>
    <w:p w:rsidR="00C75CA8" w:rsidRDefault="00C75CA8"/>
    <w:p w:rsidR="00C75CA8" w:rsidRDefault="00C75CA8">
      <w:pPr>
        <w:rPr>
          <w:rFonts w:hint="eastAsia"/>
        </w:rPr>
      </w:pPr>
    </w:p>
    <w:p w:rsidR="00703954" w:rsidRDefault="00C75CA8">
      <w:pPr>
        <w:pStyle w:val="Heading1"/>
        <w:spacing w:before="80" w:after="120"/>
      </w:pPr>
      <w:r>
        <w:lastRenderedPageBreak/>
        <w:t>2. Psychological interventions for tension-type headache</w:t>
      </w:r>
    </w:p>
    <w:p w:rsidR="00703954" w:rsidRDefault="00C75CA8">
      <w:pPr>
        <w:rPr>
          <w:rFonts w:hint="eastAsia"/>
        </w:rPr>
      </w:pPr>
      <w:r>
        <w:rPr>
          <w:i/>
          <w:color w:val="5A6B72"/>
          <w:sz w:val="20"/>
        </w:rPr>
        <w:t>Yuan L, Pantila K, Niu XY, et al. The Journal of Headache and Pain. 2026.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03954">
        <w:trPr>
          <w:jc w:val="center"/>
        </w:trPr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Why this paper matters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This</w:t>
            </w:r>
            <w:r>
              <w:t xml:space="preserve"> paper strengthens the case for integrating behavioural care into TTH management rather than viewing it as an optional add-on. It is especially relevant for patients with stress amplification, poor sleep, anxiety, low coping reserve, or persistent disabili</w:t>
            </w:r>
            <w:r>
              <w:t>ty.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What the paper asked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Do psychological treatments such as CBT, relaxation, biofeedback, mindfulness, and related approaches improve TTH outcomes?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Study design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 xml:space="preserve">Systematic review and meta-analysis of 19 randomized trials with 1069 participants; primary </w:t>
            </w:r>
            <w:r>
              <w:t>outcome was monthly headache days.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Key clinically relevant findings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Psychological interventions reduced headache days by about 4.5 days per month compared with controls (MD −4.53; 95% CI −5.52 to −3.54).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Treatment response was higher with psychological</w:t>
            </w:r>
            <w:r>
              <w:t xml:space="preserve"> therapy (RR 2.43; 95% CI 1.32 to 4.48).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Headache intensity also improved (MD −1.88), but heterogeneity was substantial (I² 93%), meaning the size of benefit varied widely across studies and modalities.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 xml:space="preserve">Exploratory subgroup analysis suggested </w:t>
            </w:r>
            <w:r>
              <w:t>mindfulness/meditation and some other psychological approaches reduced intensity, whereas relaxation-only approaches did not show the same signal.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Analgesic-use outcomes were too inconsistently reported for pooled analysis, and follow-up was generally sh</w:t>
            </w:r>
            <w:r>
              <w:t>ort to moderate.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Bottom line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Psychological treatment should be considered a genuine management option for TTH, particularly for chronic or frequent disease and for patients with psychosocial amplification, but clinicians should avoid assuming all modalitie</w:t>
            </w:r>
            <w:r>
              <w:t>s are interchangeable.</w:t>
            </w:r>
          </w:p>
        </w:tc>
        <w:tc>
          <w:tcPr>
            <w:tcW w:w="4968" w:type="dxa"/>
            <w:shd w:val="clear" w:color="auto" w:fill="EAF4F4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03954" w:rsidRDefault="00C75CA8">
            <w:pPr>
              <w:spacing w:after="100"/>
              <w:rPr>
                <w:rFonts w:hint="eastAsia"/>
              </w:rPr>
            </w:pPr>
            <w:r>
              <w:rPr>
                <w:b/>
                <w:color w:val="0F4C5C"/>
              </w:rPr>
              <w:t>Clinical application panel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Most clinically useful position: adjunct or alternative to pharmacological prophylaxis in patients with frequent/chronic TTH, comorbid anxiety/depression, or medication-overuse risk.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Think in phenotypes</w:t>
            </w:r>
            <w:r>
              <w:t>: stress-linked headache, central sensitisation features, insomnia, catastrophising, and high disability may point toward higher value from behavioural care.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Do not oversimplify as “just stress”; frame this as evidence-based headache treatment that modif</w:t>
            </w:r>
            <w:r>
              <w:t>ies pain processing and coping.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Where resources are limited, prioritise CBT-style approaches, biofeedback, or structured mindfulness programmes over vague advice to “relax”.</w:t>
            </w:r>
          </w:p>
        </w:tc>
      </w:tr>
    </w:tbl>
    <w:p w:rsidR="00703954" w:rsidRDefault="00703954">
      <w:pPr>
        <w:rPr>
          <w:rFonts w:hint="eastAsia"/>
        </w:rPr>
      </w:pPr>
    </w:p>
    <w:p w:rsidR="00703954" w:rsidRDefault="00C75CA8">
      <w:pPr>
        <w:pStyle w:val="Heading1"/>
        <w:spacing w:before="80" w:after="120"/>
      </w:pPr>
      <w:r>
        <w:lastRenderedPageBreak/>
        <w:t>3. Exercise for chronic tension-type headache and chronic migraine</w:t>
      </w:r>
    </w:p>
    <w:p w:rsidR="00703954" w:rsidRDefault="00C75CA8">
      <w:pPr>
        <w:rPr>
          <w:rFonts w:hint="eastAsia"/>
        </w:rPr>
      </w:pPr>
      <w:r>
        <w:rPr>
          <w:i/>
          <w:color w:val="5A6B72"/>
          <w:sz w:val="20"/>
        </w:rPr>
        <w:t>Palacio-Del</w:t>
      </w:r>
      <w:r>
        <w:rPr>
          <w:i/>
          <w:color w:val="5A6B72"/>
          <w:sz w:val="20"/>
        </w:rPr>
        <w:t xml:space="preserve"> Río CJ, Monti-Ballano S, Lucha-López MO, et al. Healthcare. 2025.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03954">
        <w:trPr>
          <w:jc w:val="center"/>
        </w:trPr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Why this paper matters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This is useful because headache clinics often underuse exercise as a structured therapeutic prescription. The paper supports moving beyond generic advice and toward a</w:t>
            </w:r>
            <w:r>
              <w:t xml:space="preserve"> programme-based rehabilitation model, particularly in patients with neck dysfunction, deconditioning, or chronicity.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What the paper asked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Does exercise help reduce pain in chronic TTH and chronic migraine?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Study design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Systematic review of 10 studies (848</w:t>
            </w:r>
            <w:r>
              <w:t xml:space="preserve"> participants) assessing exercise-based interventions versus conventional care; qualitative synthesis because protocols and outcomes were heterogeneous.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Key clinically relevant findings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Across most included studies, exercise-based programmes outperformed</w:t>
            </w:r>
            <w:r>
              <w:t xml:space="preserve"> control care for pain reduction.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Interventions were varied and commonly combined strengthening/resistance work, postural correction, cervical/scapular exercise, relaxation components, and sometimes manual or adjunctive therapies.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The authors argue tha</w:t>
            </w:r>
            <w:r>
              <w:t>t exercise may help through central pain modulation, reduced sensitisation, and better postural/musculoskeletal control.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Evidence quality was limited by heterogeneity, mixed intervention packages, and the practical difficulty of blinding participants and</w:t>
            </w:r>
            <w:r>
              <w:t xml:space="preserve"> therapists.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The review’s clinical direction was to combine aerobic exercise suited to the patient with postural re-education and soft-tissue tension-reducing strategies where appropriate.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Bottom line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Exercise appears clinically worthwhile in chronic TTH</w:t>
            </w:r>
            <w:r>
              <w:t xml:space="preserve"> and chronic migraine, but it should be prescribed as a tailored programme rather than as a vague instruction to “be more active”.</w:t>
            </w:r>
          </w:p>
        </w:tc>
        <w:tc>
          <w:tcPr>
            <w:tcW w:w="4968" w:type="dxa"/>
            <w:shd w:val="clear" w:color="auto" w:fill="EAF4F4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03954" w:rsidRDefault="00C75CA8">
            <w:pPr>
              <w:spacing w:after="100"/>
              <w:rPr>
                <w:rFonts w:hint="eastAsia"/>
              </w:rPr>
            </w:pPr>
            <w:r>
              <w:rPr>
                <w:b/>
                <w:color w:val="0F4C5C"/>
              </w:rPr>
              <w:t>Clinical application panel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Good candidates: chronic TTH or chronic migraine with neck/shoulder dysfunction, sedentary lifes</w:t>
            </w:r>
            <w:r>
              <w:t>tyle, postural strain, fear-avoidance, or persistent disability.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 xml:space="preserve">Helpful way to operationalise this in clinic: prescribe frequency, type, duration, and progression—eg, 2–3 sessions/week of cervical-scapular strengthening plus graded aerobic activity and </w:t>
            </w:r>
            <w:r>
              <w:t>home mobility work.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Expect exercise to work best as part of multimodal care, not as an isolated cure.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Counselling point: early symptom flares can occur; persistence with graded progression matters more than a perfect immediate response.</w:t>
            </w:r>
          </w:p>
        </w:tc>
      </w:tr>
    </w:tbl>
    <w:p w:rsidR="00703954" w:rsidRDefault="00703954">
      <w:pPr>
        <w:rPr>
          <w:rFonts w:hint="eastAsia"/>
        </w:rPr>
      </w:pPr>
    </w:p>
    <w:p w:rsidR="00703954" w:rsidRDefault="00C75CA8">
      <w:pPr>
        <w:pStyle w:val="Heading1"/>
        <w:spacing w:before="80" w:after="120"/>
      </w:pPr>
      <w:r>
        <w:lastRenderedPageBreak/>
        <w:t xml:space="preserve">4. </w:t>
      </w:r>
      <w:r>
        <w:t>Pharmacological prophylaxis for tension-type headache</w:t>
      </w:r>
    </w:p>
    <w:p w:rsidR="00703954" w:rsidRDefault="00C75CA8">
      <w:pPr>
        <w:rPr>
          <w:rFonts w:hint="eastAsia"/>
        </w:rPr>
      </w:pPr>
      <w:r>
        <w:rPr>
          <w:i/>
          <w:color w:val="5A6B72"/>
          <w:sz w:val="20"/>
        </w:rPr>
        <w:t>Tao QF, Hua C, Mou JJ, et al. Annals of Medicine. 2026.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03954">
        <w:trPr>
          <w:jc w:val="center"/>
        </w:trPr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Why this paper matters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 xml:space="preserve">This paper is clinically helpful because it compares multiple preventive options rather than reviewing one drug at a time. </w:t>
            </w:r>
            <w:r>
              <w:t>It broadly reinforces amitriptyline as the most evidence-supported conventional option for chronic TTH, while showing that other treatments may have signals but a weaker or less certain evidence base.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What the paper asked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Among pharmacological options stud</w:t>
            </w:r>
            <w:r>
              <w:t>ied for TTH prevention, which agents appear most effective and what are their trade-offs?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Study design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Systematic review and Bayesian network meta-analysis of 35 RCTs; 33 trials involved chronic TTH and 24 provided data for quantitative analysis.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Key clini</w:t>
            </w:r>
            <w:r>
              <w:rPr>
                <w:b/>
                <w:color w:val="0F4C5C"/>
              </w:rPr>
              <w:t>cally relevant findings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Amitriptyline 100 mg reduced monthly headache days versus placebo at 4 weeks (MD −6.59) and 8 weeks (MD −6.14).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Botulinum toxin A 100 U also reduced monthly headache days (MD −3.79; 95% CrI −7.16 to −0.33).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Amitriptyline 100 m</w:t>
            </w:r>
            <w:r>
              <w:t>g ranked highest for headache-day reduction at 4, 8, and 24 weeks; lidocaine 25 ml ranked highest at 12 weeks in the model.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Amitriptyline 100 mg and BTX-A 500 U were associated with higher adverse-event rates than placebo.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The certainty of evidence was</w:t>
            </w:r>
            <w:r>
              <w:t xml:space="preserve"> low to very low, with substantial heterogeneity and many older or higher-risk trials.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Bottom line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For chronic TTH prevention, amitriptyline remains the most defensible first pharmacological choice from this evidence base. BTX-A may be considered in select</w:t>
            </w:r>
            <w:r>
              <w:t>ed cases, but certainty is lower and routine use should be cautious.</w:t>
            </w:r>
          </w:p>
        </w:tc>
        <w:tc>
          <w:tcPr>
            <w:tcW w:w="4968" w:type="dxa"/>
            <w:shd w:val="clear" w:color="auto" w:fill="EAF4F4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03954" w:rsidRDefault="00C75CA8">
            <w:pPr>
              <w:spacing w:after="100"/>
              <w:rPr>
                <w:rFonts w:hint="eastAsia"/>
              </w:rPr>
            </w:pPr>
            <w:r>
              <w:rPr>
                <w:b/>
                <w:color w:val="0F4C5C"/>
              </w:rPr>
              <w:t>Clinical application panel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Most practical application: keep amitriptyline as first-line prophylaxis unless comorbidity or tolerability argues otherwise.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Use the paper to support share</w:t>
            </w:r>
            <w:r>
              <w:t>d decision-making rather than to over-interpret rankings; the network is helpful, but the evidence quality is not strong enough to treat all rankings as stable truth.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 xml:space="preserve">If considering BTX-A, frame it as a selective option for refractory chronic TTH rather </w:t>
            </w:r>
            <w:r>
              <w:t>than a standard next step.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Clinical caveat: dose, tolerability, sedation, anticholinergic burden, and comorbidity still matter more than any single SUCRA ranking.</w:t>
            </w:r>
          </w:p>
        </w:tc>
      </w:tr>
    </w:tbl>
    <w:p w:rsidR="00703954" w:rsidRDefault="00C75CA8">
      <w:pPr>
        <w:pStyle w:val="Heading2"/>
      </w:pPr>
      <w:bookmarkStart w:id="0" w:name="_GoBack"/>
      <w:bookmarkEnd w:id="0"/>
      <w:r>
        <w:t>How to use this document in clinic</w:t>
      </w:r>
    </w:p>
    <w:p w:rsidR="00703954" w:rsidRDefault="00C75CA8">
      <w:pPr>
        <w:ind w:left="288"/>
        <w:rPr>
          <w:rFonts w:hint="eastAsia"/>
        </w:rPr>
      </w:pPr>
      <w:r>
        <w:rPr>
          <w:b/>
        </w:rPr>
        <w:t xml:space="preserve">• </w:t>
      </w:r>
      <w:r>
        <w:t>Use the navigation pane to jump directly to a paper b</w:t>
      </w:r>
      <w:r>
        <w:t>y topic.</w:t>
      </w:r>
    </w:p>
    <w:p w:rsidR="00703954" w:rsidRDefault="00C75CA8">
      <w:pPr>
        <w:ind w:left="288"/>
        <w:rPr>
          <w:rFonts w:hint="eastAsia"/>
        </w:rPr>
      </w:pPr>
      <w:r>
        <w:rPr>
          <w:b/>
        </w:rPr>
        <w:lastRenderedPageBreak/>
        <w:t xml:space="preserve">• </w:t>
      </w:r>
      <w:r>
        <w:t>Search by intervention name (for example: amitriptyline, acupuncture, mindfulness, exercise) to find practical summaries quickly.</w:t>
      </w:r>
    </w:p>
    <w:p w:rsidR="00703954" w:rsidRDefault="00C75CA8">
      <w:pPr>
        <w:ind w:left="288"/>
        <w:rPr>
          <w:rFonts w:hint="eastAsia"/>
        </w:rPr>
      </w:pPr>
      <w:r>
        <w:rPr>
          <w:b/>
        </w:rPr>
        <w:t xml:space="preserve">• </w:t>
      </w:r>
      <w:r>
        <w:t xml:space="preserve">These summaries are application-focused; if you are making a major treatment decision, review the original paper </w:t>
      </w:r>
      <w:r>
        <w:t>and the relevant guideline alongside the summary.</w:t>
      </w:r>
    </w:p>
    <w:sectPr w:rsidR="00703954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3954"/>
    <w:rsid w:val="00AA1D8D"/>
    <w:rsid w:val="00B47730"/>
    <w:rsid w:val="00C75C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A263C2"/>
  <w14:defaultImageDpi w14:val="300"/>
  <w15:docId w15:val="{EB3AB6EB-6900-453E-83D1-4286956D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C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4C5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4C5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BBCD03-B3C1-420B-BB18-AD924530B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1532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Saeedur Rahman</cp:lastModifiedBy>
  <cp:revision>2</cp:revision>
  <dcterms:created xsi:type="dcterms:W3CDTF">2013-12-23T23:15:00Z</dcterms:created>
  <dcterms:modified xsi:type="dcterms:W3CDTF">2026-03-21T01:08:00Z</dcterms:modified>
  <cp:category/>
</cp:coreProperties>
</file>