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Integrated Headache Diary and Portal Automation Specification</w:t>
      </w:r>
    </w:p>
    <w:p>
      <w:pPr>
        <w:pStyle w:val="SubTitleCustom"/>
        <w:jc w:val="center"/>
      </w:pPr>
      <w:r>
        <w:t>Version 2 – includes automatic graph generation, upload workflow, and clinic letter integration specification</w:t>
      </w:r>
    </w:p>
    <w:tbl>
      <w:tblPr>
        <w:tblW w:type="auto" w:w="0"/>
        <w:jc w:val="center"/>
        <w:tblLayout w:type="fixed"/>
        <w:tblLook w:firstColumn="1" w:firstRow="1" w:lastColumn="0" w:lastRow="0" w:noHBand="0" w:noVBand="1" w:val="04A0"/>
      </w:tblPr>
      <w:tblGrid>
        <w:gridCol w:w="10224"/>
      </w:tblGrid>
      <w:tr>
        <w:tc>
          <w:tcPr>
            <w:tcW w:type="dxa" w:w="9792"/>
            <w:shd w:fill="EDF5FB"/>
            <w:tcMar>
              <w:top w:w="120" w:type="dxa"/>
              <w:start w:w="160" w:type="dxa"/>
              <w:bottom w:w="120" w:type="dxa"/>
              <w:end w:w="160" w:type="dxa"/>
            </w:tcMar>
          </w:tcPr>
          <w:p>
            <w:pPr>
              <w:spacing w:after="0"/>
            </w:pPr>
            <w:r>
              <w:rPr>
                <w:b/>
                <w:color w:val="17324D"/>
                <w:sz w:val="18"/>
              </w:rPr>
              <w:t xml:space="preserve">Purpose: </w:t>
            </w:r>
            <w:r>
              <w:rPr>
                <w:sz w:val="18"/>
              </w:rPr>
              <w:t>This document functions as both a patient-facing headache diary and a developer-facing implementation brief. It defines how monthly review data should be converted into colourful graphs, how uploaded paper forms should be digitised, and how both the summary metrics and the graphs should auto-populate the clinic letter summary.</w:t>
            </w:r>
          </w:p>
        </w:tc>
      </w:tr>
    </w:tbl>
    <w:p>
      <w:pPr>
        <w:pStyle w:val="SmallNote"/>
        <w:jc w:val="left"/>
      </w:pPr>
      <w:r>
        <w:t>Implementation note: native DOCX files cannot themselves generate live graphs after upload. The automation must sit within the web platform. This specification therefore defines the online behaviour, the paper-upload workflow, and the outputs that should be written back into follow-up documentation.</w:t>
      </w:r>
    </w:p>
    <w:p>
      <w:pPr>
        <w:pStyle w:val="SectionHead"/>
        <w:spacing w:before="200" w:after="120"/>
      </w:pPr>
      <w:r>
        <w:t>1. Core diary purpose and clinical use</w:t>
      </w:r>
    </w:p>
    <w:p>
      <w:pPr>
        <w:pStyle w:val="ListBullet"/>
        <w:spacing w:after="40"/>
      </w:pPr>
      <w:r>
        <w:t>Record one line every day, including headache-free days.</w:t>
      </w:r>
    </w:p>
    <w:p>
      <w:pPr>
        <w:pStyle w:val="ListBullet"/>
        <w:spacing w:after="40"/>
      </w:pPr>
      <w:r>
        <w:t>Capture attack burden, phenotype clues, medication exposure, disability, side effects, and red flags.</w:t>
      </w:r>
    </w:p>
    <w:p>
      <w:pPr>
        <w:pStyle w:val="ListBullet"/>
        <w:spacing w:after="40"/>
      </w:pPr>
      <w:r>
        <w:t>Provide a standardised data source for follow-up templates, graphical review, and clinic letter drafting.</w:t>
      </w:r>
    </w:p>
    <w:p>
      <w:pPr>
        <w:pStyle w:val="ListBullet"/>
        <w:spacing w:after="40"/>
      </w:pPr>
      <w:r>
        <w:t>Support both direct online entry and paper-form upload into the same structured portal workflow.</w:t>
      </w:r>
    </w:p>
    <w:p>
      <w:pPr>
        <w:pStyle w:val="SectionHead"/>
        <w:spacing w:before="200" w:after="120"/>
      </w:pPr>
      <w:r>
        <w:t>2. Existing diary structure retained from the current template</w:t>
      </w:r>
    </w:p>
    <w:p>
      <w:pPr>
        <w:pStyle w:val="ListBullet"/>
        <w:spacing w:after="40"/>
      </w:pPr>
      <w:r>
        <w:t>Patient profile and baseline treatment</w:t>
      </w:r>
    </w:p>
    <w:p>
      <w:pPr>
        <w:pStyle w:val="ListBullet"/>
        <w:spacing w:after="40"/>
      </w:pPr>
      <w:r>
        <w:t>Daily coding legend</w:t>
      </w:r>
    </w:p>
    <w:p>
      <w:pPr>
        <w:pStyle w:val="ListBullet"/>
        <w:spacing w:after="40"/>
      </w:pPr>
      <w:r>
        <w:t>Monthly daily diary</w:t>
      </w:r>
    </w:p>
    <w:p>
      <w:pPr>
        <w:pStyle w:val="ListBullet"/>
        <w:spacing w:after="40"/>
      </w:pPr>
      <w:r>
        <w:t>Monthly review summary</w:t>
      </w:r>
    </w:p>
    <w:p>
      <w:pPr>
        <w:pStyle w:val="ListBullet"/>
        <w:spacing w:after="40"/>
      </w:pPr>
      <w:r>
        <w:t>Red-flag checklist for escalation</w:t>
      </w:r>
    </w:p>
    <w:p>
      <w:pPr>
        <w:pStyle w:val="ListBullet"/>
        <w:spacing w:after="40"/>
      </w:pPr>
      <w:r>
        <w:t>Current medicines and response</w:t>
      </w:r>
    </w:p>
    <w:p>
      <w:pPr>
        <w:pStyle w:val="ListBullet"/>
        <w:spacing w:after="40"/>
      </w:pPr>
      <w:r>
        <w:t>Portal upload and auto-population specification</w:t>
      </w:r>
    </w:p>
    <w:p>
      <w:pPr>
        <w:pStyle w:val="SectionHead"/>
        <w:spacing w:before="200" w:after="120"/>
      </w:pPr>
      <w:r>
        <w:t>3. New functionality to be added in the online version</w:t>
      </w:r>
    </w:p>
    <w:p>
      <w:pPr>
        <w:pStyle w:val="ListBullet"/>
        <w:spacing w:after="40"/>
      </w:pPr>
      <w:r>
        <w:t>Automatic graph generation as soon as the monthly review summary is completed or the daily data are sufficient to calculate the same metrics.</w:t>
      </w:r>
    </w:p>
    <w:p>
      <w:pPr>
        <w:pStyle w:val="ListBullet"/>
        <w:spacing w:after="40"/>
      </w:pPr>
      <w:r>
        <w:t>Automatic graph generation after paper-form upload using OCR or structured transcription into the same data model.</w:t>
      </w:r>
    </w:p>
    <w:p>
      <w:pPr>
        <w:pStyle w:val="ListBullet"/>
        <w:spacing w:after="40"/>
      </w:pPr>
      <w:r>
        <w:t>One-click insertion of the monthly summary metrics and graph panel into the clinic letter summary.</w:t>
      </w:r>
    </w:p>
    <w:p>
      <w:pPr>
        <w:pStyle w:val="ListBullet"/>
        <w:spacing w:after="40"/>
      </w:pPr>
      <w:r>
        <w:t>Hover-over information icons in the portal for each free-text or summary section so clinicians can see prompts without cluttering the form.</w:t>
      </w:r>
    </w:p>
    <w:p>
      <w:pPr>
        <w:pStyle w:val="ListBullet"/>
        <w:spacing w:after="40"/>
      </w:pPr>
      <w:r>
        <w:t>A clinician-facing review mode that displays raw entries, computed metrics, red-flag alerts, and graphics side by side.</w:t>
      </w:r>
    </w:p>
    <w:p>
      <w:pPr>
        <w:pStyle w:val="SectionHead"/>
        <w:spacing w:before="200" w:after="120"/>
      </w:pPr>
      <w:r>
        <w:t>4. Recommended online workflow</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tcMar>
              <w:top w:w="90" w:type="dxa"/>
              <w:start w:w="120" w:type="dxa"/>
              <w:bottom w:w="90" w:type="dxa"/>
              <w:end w:w="120" w:type="dxa"/>
            </w:tcMar>
            <w:vAlign w:val="center"/>
            <w:shd w:fill="D9EAF7"/>
          </w:tcPr>
          <w:p>
            <w:pPr>
              <w:spacing w:after="0" w:before="0" w:line="240" w:lineRule="auto"/>
            </w:pPr>
            <w:r>
              <w:rPr>
                <w:rFonts w:ascii="Aptos" w:hAnsi="Aptos"/>
                <w:b/>
                <w:color w:val="17324D"/>
                <w:sz w:val="18"/>
              </w:rPr>
              <w:t>Step</w:t>
            </w:r>
          </w:p>
        </w:tc>
        <w:tc>
          <w:tcPr>
            <w:tcW w:type="dxa" w:w="1944"/>
            <w:tcMar>
              <w:top w:w="90" w:type="dxa"/>
              <w:start w:w="120" w:type="dxa"/>
              <w:bottom w:w="90" w:type="dxa"/>
              <w:end w:w="120" w:type="dxa"/>
            </w:tcMar>
            <w:vAlign w:val="center"/>
            <w:shd w:fill="D9EAF7"/>
          </w:tcPr>
          <w:p>
            <w:pPr>
              <w:spacing w:after="0" w:before="0" w:line="240" w:lineRule="auto"/>
            </w:pPr>
            <w:r>
              <w:rPr>
                <w:rFonts w:ascii="Aptos" w:hAnsi="Aptos"/>
                <w:b/>
                <w:color w:val="17324D"/>
                <w:sz w:val="18"/>
              </w:rPr>
              <w:t>Input</w:t>
            </w:r>
          </w:p>
        </w:tc>
        <w:tc>
          <w:tcPr>
            <w:tcW w:type="dxa" w:w="3816"/>
            <w:tcMar>
              <w:top w:w="90" w:type="dxa"/>
              <w:start w:w="120" w:type="dxa"/>
              <w:bottom w:w="90" w:type="dxa"/>
              <w:end w:w="120" w:type="dxa"/>
            </w:tcMar>
            <w:vAlign w:val="center"/>
            <w:shd w:fill="D9EAF7"/>
          </w:tcPr>
          <w:p>
            <w:pPr>
              <w:spacing w:after="0" w:before="0" w:line="240" w:lineRule="auto"/>
            </w:pPr>
            <w:r>
              <w:rPr>
                <w:rFonts w:ascii="Aptos" w:hAnsi="Aptos"/>
                <w:b/>
                <w:color w:val="17324D"/>
                <w:sz w:val="18"/>
              </w:rPr>
              <w:t>Portal action</w:t>
            </w:r>
          </w:p>
        </w:tc>
        <w:tc>
          <w:tcPr>
            <w:tcW w:type="dxa" w:w="2664"/>
            <w:tcMar>
              <w:top w:w="90" w:type="dxa"/>
              <w:start w:w="120" w:type="dxa"/>
              <w:bottom w:w="90" w:type="dxa"/>
              <w:end w:w="120" w:type="dxa"/>
            </w:tcMar>
            <w:vAlign w:val="center"/>
            <w:shd w:fill="D9EAF7"/>
          </w:tcPr>
          <w:p>
            <w:pPr>
              <w:spacing w:after="0" w:before="0" w:line="240" w:lineRule="auto"/>
            </w:pPr>
            <w:r>
              <w:rPr>
                <w:rFonts w:ascii="Aptos" w:hAnsi="Aptos"/>
                <w:b/>
                <w:color w:val="17324D"/>
                <w:sz w:val="18"/>
              </w:rPr>
              <w:t>Output</w:t>
            </w:r>
          </w:p>
        </w:tc>
      </w:tr>
      <w:tr>
        <w:tc>
          <w:tcPr>
            <w:tcW w:type="dxa" w:w="792"/>
            <w:tcMar>
              <w:top w:w="90" w:type="dxa"/>
              <w:start w:w="120" w:type="dxa"/>
              <w:bottom w:w="90" w:type="dxa"/>
              <w:end w:w="120" w:type="dxa"/>
            </w:tcMar>
            <w:vAlign w:val="center"/>
          </w:tcPr>
          <w:p>
            <w:pPr>
              <w:spacing w:after="0" w:before="0" w:line="240" w:lineRule="auto"/>
            </w:pPr>
            <w:r>
              <w:rPr>
                <w:rFonts w:ascii="Aptos" w:hAnsi="Aptos"/>
                <w:sz w:val="18"/>
              </w:rPr>
              <w:t>1</w:t>
            </w:r>
          </w:p>
        </w:tc>
        <w:tc>
          <w:tcPr>
            <w:tcW w:type="dxa" w:w="1944"/>
            <w:tcMar>
              <w:top w:w="90" w:type="dxa"/>
              <w:start w:w="120" w:type="dxa"/>
              <w:bottom w:w="90" w:type="dxa"/>
              <w:end w:w="120" w:type="dxa"/>
            </w:tcMar>
            <w:vAlign w:val="center"/>
          </w:tcPr>
          <w:p>
            <w:pPr>
              <w:spacing w:after="0" w:before="0" w:line="240" w:lineRule="auto"/>
            </w:pPr>
            <w:r>
              <w:rPr>
                <w:rFonts w:ascii="Aptos" w:hAnsi="Aptos"/>
                <w:sz w:val="18"/>
              </w:rPr>
              <w:t>Direct patient portal entry or uploaded paper diary</w:t>
            </w:r>
          </w:p>
        </w:tc>
        <w:tc>
          <w:tcPr>
            <w:tcW w:type="dxa" w:w="3816"/>
            <w:tcMar>
              <w:top w:w="90" w:type="dxa"/>
              <w:start w:w="120" w:type="dxa"/>
              <w:bottom w:w="90" w:type="dxa"/>
              <w:end w:w="120" w:type="dxa"/>
            </w:tcMar>
            <w:vAlign w:val="center"/>
          </w:tcPr>
          <w:p>
            <w:pPr>
              <w:spacing w:after="0" w:before="0" w:line="240" w:lineRule="auto"/>
            </w:pPr>
            <w:r>
              <w:rPr>
                <w:rFonts w:ascii="Aptos" w:hAnsi="Aptos"/>
                <w:sz w:val="18"/>
              </w:rPr>
              <w:t>Parse exact field labels and validate required fields</w:t>
            </w:r>
          </w:p>
        </w:tc>
        <w:tc>
          <w:tcPr>
            <w:tcW w:type="dxa" w:w="2664"/>
            <w:tcMar>
              <w:top w:w="90" w:type="dxa"/>
              <w:start w:w="120" w:type="dxa"/>
              <w:bottom w:w="90" w:type="dxa"/>
              <w:end w:w="120" w:type="dxa"/>
            </w:tcMar>
            <w:vAlign w:val="center"/>
          </w:tcPr>
          <w:p>
            <w:pPr>
              <w:spacing w:after="0" w:before="0" w:line="240" w:lineRule="auto"/>
            </w:pPr>
            <w:r>
              <w:rPr>
                <w:rFonts w:ascii="Aptos" w:hAnsi="Aptos"/>
                <w:sz w:val="18"/>
              </w:rPr>
              <w:t>Structured diary dataset</w:t>
            </w:r>
          </w:p>
        </w:tc>
      </w:tr>
      <w:tr>
        <w:tc>
          <w:tcPr>
            <w:tcW w:type="dxa" w:w="792"/>
            <w:tcMar>
              <w:top w:w="90" w:type="dxa"/>
              <w:start w:w="120" w:type="dxa"/>
              <w:bottom w:w="90" w:type="dxa"/>
              <w:end w:w="120" w:type="dxa"/>
            </w:tcMar>
            <w:vAlign w:val="center"/>
          </w:tcPr>
          <w:p>
            <w:pPr>
              <w:spacing w:after="0" w:before="0" w:line="240" w:lineRule="auto"/>
            </w:pPr>
            <w:r>
              <w:rPr>
                <w:rFonts w:ascii="Aptos" w:hAnsi="Aptos"/>
                <w:sz w:val="18"/>
              </w:rPr>
              <w:t>2</w:t>
            </w:r>
          </w:p>
        </w:tc>
        <w:tc>
          <w:tcPr>
            <w:tcW w:type="dxa" w:w="1944"/>
            <w:tcMar>
              <w:top w:w="90" w:type="dxa"/>
              <w:start w:w="120" w:type="dxa"/>
              <w:bottom w:w="90" w:type="dxa"/>
              <w:end w:w="120" w:type="dxa"/>
            </w:tcMar>
            <w:vAlign w:val="center"/>
          </w:tcPr>
          <w:p>
            <w:pPr>
              <w:spacing w:after="0" w:before="0" w:line="240" w:lineRule="auto"/>
            </w:pPr>
            <w:r>
              <w:rPr>
                <w:rFonts w:ascii="Aptos" w:hAnsi="Aptos"/>
                <w:sz w:val="18"/>
              </w:rPr>
              <w:t>Daily rows + monthly review summary</w:t>
            </w:r>
          </w:p>
        </w:tc>
        <w:tc>
          <w:tcPr>
            <w:tcW w:type="dxa" w:w="3816"/>
            <w:tcMar>
              <w:top w:w="90" w:type="dxa"/>
              <w:start w:w="120" w:type="dxa"/>
              <w:bottom w:w="90" w:type="dxa"/>
              <w:end w:w="120" w:type="dxa"/>
            </w:tcMar>
            <w:vAlign w:val="center"/>
          </w:tcPr>
          <w:p>
            <w:pPr>
              <w:spacing w:after="0" w:before="0" w:line="240" w:lineRule="auto"/>
            </w:pPr>
            <w:r>
              <w:rPr>
                <w:rFonts w:ascii="Aptos" w:hAnsi="Aptos"/>
                <w:sz w:val="18"/>
              </w:rPr>
              <w:t>Calculate burden metrics, medication exposure, phenotype signals, and red-flag triggers</w:t>
            </w:r>
          </w:p>
        </w:tc>
        <w:tc>
          <w:tcPr>
            <w:tcW w:type="dxa" w:w="2664"/>
            <w:tcMar>
              <w:top w:w="90" w:type="dxa"/>
              <w:start w:w="120" w:type="dxa"/>
              <w:bottom w:w="90" w:type="dxa"/>
              <w:end w:w="120" w:type="dxa"/>
            </w:tcMar>
            <w:vAlign w:val="center"/>
          </w:tcPr>
          <w:p>
            <w:pPr>
              <w:spacing w:after="0" w:before="0" w:line="240" w:lineRule="auto"/>
            </w:pPr>
            <w:r>
              <w:rPr>
                <w:rFonts w:ascii="Aptos" w:hAnsi="Aptos"/>
                <w:sz w:val="18"/>
              </w:rPr>
              <w:t>Computed monthly summary</w:t>
            </w:r>
          </w:p>
        </w:tc>
      </w:tr>
      <w:tr>
        <w:tc>
          <w:tcPr>
            <w:tcW w:type="dxa" w:w="792"/>
            <w:tcMar>
              <w:top w:w="90" w:type="dxa"/>
              <w:start w:w="120" w:type="dxa"/>
              <w:bottom w:w="90" w:type="dxa"/>
              <w:end w:w="120" w:type="dxa"/>
            </w:tcMar>
            <w:vAlign w:val="center"/>
          </w:tcPr>
          <w:p>
            <w:pPr>
              <w:spacing w:after="0" w:before="0" w:line="240" w:lineRule="auto"/>
            </w:pPr>
            <w:r>
              <w:rPr>
                <w:rFonts w:ascii="Aptos" w:hAnsi="Aptos"/>
                <w:sz w:val="18"/>
              </w:rPr>
              <w:t>3</w:t>
            </w:r>
          </w:p>
        </w:tc>
        <w:tc>
          <w:tcPr>
            <w:tcW w:type="dxa" w:w="1944"/>
            <w:tcMar>
              <w:top w:w="90" w:type="dxa"/>
              <w:start w:w="120" w:type="dxa"/>
              <w:bottom w:w="90" w:type="dxa"/>
              <w:end w:w="120" w:type="dxa"/>
            </w:tcMar>
            <w:vAlign w:val="center"/>
          </w:tcPr>
          <w:p>
            <w:pPr>
              <w:spacing w:after="0" w:before="0" w:line="240" w:lineRule="auto"/>
            </w:pPr>
            <w:r>
              <w:rPr>
                <w:rFonts w:ascii="Aptos" w:hAnsi="Aptos"/>
                <w:sz w:val="18"/>
              </w:rPr>
              <w:t>Computed monthly summary</w:t>
            </w:r>
          </w:p>
        </w:tc>
        <w:tc>
          <w:tcPr>
            <w:tcW w:type="dxa" w:w="3816"/>
            <w:tcMar>
              <w:top w:w="90" w:type="dxa"/>
              <w:start w:w="120" w:type="dxa"/>
              <w:bottom w:w="90" w:type="dxa"/>
              <w:end w:w="120" w:type="dxa"/>
            </w:tcMar>
            <w:vAlign w:val="center"/>
          </w:tcPr>
          <w:p>
            <w:pPr>
              <w:spacing w:after="0" w:before="0" w:line="240" w:lineRule="auto"/>
            </w:pPr>
            <w:r>
              <w:rPr>
                <w:rFonts w:ascii="Aptos" w:hAnsi="Aptos"/>
                <w:sz w:val="18"/>
              </w:rPr>
              <w:t>Render visual graph pack automatically</w:t>
            </w:r>
          </w:p>
        </w:tc>
        <w:tc>
          <w:tcPr>
            <w:tcW w:type="dxa" w:w="2664"/>
            <w:tcMar>
              <w:top w:w="90" w:type="dxa"/>
              <w:start w:w="120" w:type="dxa"/>
              <w:bottom w:w="90" w:type="dxa"/>
              <w:end w:w="120" w:type="dxa"/>
            </w:tcMar>
            <w:vAlign w:val="center"/>
          </w:tcPr>
          <w:p>
            <w:pPr>
              <w:spacing w:after="0" w:before="0" w:line="240" w:lineRule="auto"/>
            </w:pPr>
            <w:r>
              <w:rPr>
                <w:rFonts w:ascii="Aptos" w:hAnsi="Aptos"/>
                <w:sz w:val="18"/>
              </w:rPr>
              <w:t>Colour graphs and trend panels</w:t>
            </w:r>
          </w:p>
        </w:tc>
      </w:tr>
      <w:tr>
        <w:tc>
          <w:tcPr>
            <w:tcW w:type="dxa" w:w="792"/>
            <w:tcMar>
              <w:top w:w="90" w:type="dxa"/>
              <w:start w:w="120" w:type="dxa"/>
              <w:bottom w:w="90" w:type="dxa"/>
              <w:end w:w="120" w:type="dxa"/>
            </w:tcMar>
            <w:vAlign w:val="center"/>
          </w:tcPr>
          <w:p>
            <w:pPr>
              <w:spacing w:after="0" w:before="0" w:line="240" w:lineRule="auto"/>
            </w:pPr>
            <w:r>
              <w:rPr>
                <w:rFonts w:ascii="Aptos" w:hAnsi="Aptos"/>
                <w:sz w:val="18"/>
              </w:rPr>
              <w:t>4</w:t>
            </w:r>
          </w:p>
        </w:tc>
        <w:tc>
          <w:tcPr>
            <w:tcW w:type="dxa" w:w="1944"/>
            <w:tcMar>
              <w:top w:w="90" w:type="dxa"/>
              <w:start w:w="120" w:type="dxa"/>
              <w:bottom w:w="90" w:type="dxa"/>
              <w:end w:w="120" w:type="dxa"/>
            </w:tcMar>
            <w:vAlign w:val="center"/>
          </w:tcPr>
          <w:p>
            <w:pPr>
              <w:spacing w:after="0" w:before="0" w:line="240" w:lineRule="auto"/>
            </w:pPr>
            <w:r>
              <w:rPr>
                <w:rFonts w:ascii="Aptos" w:hAnsi="Aptos"/>
                <w:sz w:val="18"/>
              </w:rPr>
              <w:t>Clinician review request</w:t>
            </w:r>
          </w:p>
        </w:tc>
        <w:tc>
          <w:tcPr>
            <w:tcW w:type="dxa" w:w="3816"/>
            <w:tcMar>
              <w:top w:w="90" w:type="dxa"/>
              <w:start w:w="120" w:type="dxa"/>
              <w:bottom w:w="90" w:type="dxa"/>
              <w:end w:w="120" w:type="dxa"/>
            </w:tcMar>
            <w:vAlign w:val="center"/>
          </w:tcPr>
          <w:p>
            <w:pPr>
              <w:spacing w:after="0" w:before="0" w:line="240" w:lineRule="auto"/>
            </w:pPr>
            <w:r>
              <w:rPr>
                <w:rFonts w:ascii="Aptos" w:hAnsi="Aptos"/>
                <w:sz w:val="18"/>
              </w:rPr>
              <w:t>Insert summary metrics and graph snapshot into follow-up note / clinic letter</w:t>
            </w:r>
          </w:p>
        </w:tc>
        <w:tc>
          <w:tcPr>
            <w:tcW w:type="dxa" w:w="2664"/>
            <w:tcMar>
              <w:top w:w="90" w:type="dxa"/>
              <w:start w:w="120" w:type="dxa"/>
              <w:bottom w:w="90" w:type="dxa"/>
              <w:end w:w="120" w:type="dxa"/>
            </w:tcMar>
            <w:vAlign w:val="center"/>
          </w:tcPr>
          <w:p>
            <w:pPr>
              <w:spacing w:after="0" w:before="0" w:line="240" w:lineRule="auto"/>
            </w:pPr>
            <w:r>
              <w:rPr>
                <w:rFonts w:ascii="Aptos" w:hAnsi="Aptos"/>
                <w:sz w:val="18"/>
              </w:rPr>
              <w:t>Draft clinic summary text + figures</w:t>
            </w:r>
          </w:p>
        </w:tc>
      </w:tr>
      <w:tr>
        <w:tc>
          <w:tcPr>
            <w:tcW w:type="dxa" w:w="792"/>
            <w:tcMar>
              <w:top w:w="90" w:type="dxa"/>
              <w:start w:w="120" w:type="dxa"/>
              <w:bottom w:w="90" w:type="dxa"/>
              <w:end w:w="120" w:type="dxa"/>
            </w:tcMar>
            <w:vAlign w:val="center"/>
          </w:tcPr>
          <w:p>
            <w:pPr>
              <w:spacing w:after="0" w:before="0" w:line="240" w:lineRule="auto"/>
            </w:pPr>
            <w:r>
              <w:rPr>
                <w:rFonts w:ascii="Aptos" w:hAnsi="Aptos"/>
                <w:sz w:val="18"/>
              </w:rPr>
              <w:t>5</w:t>
            </w:r>
          </w:p>
        </w:tc>
        <w:tc>
          <w:tcPr>
            <w:tcW w:type="dxa" w:w="1944"/>
            <w:tcMar>
              <w:top w:w="90" w:type="dxa"/>
              <w:start w:w="120" w:type="dxa"/>
              <w:bottom w:w="90" w:type="dxa"/>
              <w:end w:w="120" w:type="dxa"/>
            </w:tcMar>
            <w:vAlign w:val="center"/>
          </w:tcPr>
          <w:p>
            <w:pPr>
              <w:spacing w:after="0" w:before="0" w:line="240" w:lineRule="auto"/>
            </w:pPr>
            <w:r>
              <w:rPr>
                <w:rFonts w:ascii="Aptos" w:hAnsi="Aptos"/>
                <w:sz w:val="18"/>
              </w:rPr>
              <w:t>Consultation completed</w:t>
            </w:r>
          </w:p>
        </w:tc>
        <w:tc>
          <w:tcPr>
            <w:tcW w:type="dxa" w:w="3816"/>
            <w:tcMar>
              <w:top w:w="90" w:type="dxa"/>
              <w:start w:w="120" w:type="dxa"/>
              <w:bottom w:w="90" w:type="dxa"/>
              <w:end w:w="120" w:type="dxa"/>
            </w:tcMar>
            <w:vAlign w:val="center"/>
          </w:tcPr>
          <w:p>
            <w:pPr>
              <w:spacing w:after="0" w:before="0" w:line="240" w:lineRule="auto"/>
            </w:pPr>
            <w:r>
              <w:rPr>
                <w:rFonts w:ascii="Aptos" w:hAnsi="Aptos"/>
                <w:sz w:val="18"/>
              </w:rPr>
              <w:t>Store reviewed month as baseline for the next month</w:t>
            </w:r>
          </w:p>
        </w:tc>
        <w:tc>
          <w:tcPr>
            <w:tcW w:type="dxa" w:w="2664"/>
            <w:tcMar>
              <w:top w:w="90" w:type="dxa"/>
              <w:start w:w="120" w:type="dxa"/>
              <w:bottom w:w="90" w:type="dxa"/>
              <w:end w:w="120" w:type="dxa"/>
            </w:tcMar>
            <w:vAlign w:val="center"/>
          </w:tcPr>
          <w:p>
            <w:pPr>
              <w:spacing w:after="0" w:before="0" w:line="240" w:lineRule="auto"/>
            </w:pPr>
            <w:r>
              <w:rPr>
                <w:rFonts w:ascii="Aptos" w:hAnsi="Aptos"/>
                <w:sz w:val="18"/>
              </w:rPr>
              <w:t>Longitudinal trend dataset</w:t>
            </w:r>
          </w:p>
        </w:tc>
      </w:tr>
    </w:tbl>
    <w:p>
      <w:pPr>
        <w:pStyle w:val="SectionHead"/>
        <w:spacing w:before="200" w:after="120"/>
      </w:pPr>
      <w:r>
        <w:t>5. Automatic graph pack: minimum required outputs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648"/>
            <w:tcMar>
              <w:top w:w="90" w:type="dxa"/>
              <w:start w:w="120" w:type="dxa"/>
              <w:bottom w:w="90" w:type="dxa"/>
              <w:end w:w="120" w:type="dxa"/>
            </w:tcMar>
            <w:vAlign w:val="center"/>
            <w:shd w:fill="FDECC8"/>
          </w:tcPr>
          <w:p>
            <w:pPr>
              <w:spacing w:after="0" w:before="0" w:line="240" w:lineRule="auto"/>
            </w:pPr>
            <w:r>
              <w:rPr>
                <w:rFonts w:ascii="Aptos" w:hAnsi="Aptos"/>
                <w:b/>
                <w:color w:val="7A4A00"/>
                <w:sz w:val="18"/>
              </w:rPr>
              <w:t>Graph</w:t>
            </w:r>
          </w:p>
        </w:tc>
        <w:tc>
          <w:tcPr>
            <w:tcW w:type="dxa" w:w="2880"/>
            <w:tcMar>
              <w:top w:w="90" w:type="dxa"/>
              <w:start w:w="120" w:type="dxa"/>
              <w:bottom w:w="90" w:type="dxa"/>
              <w:end w:w="120" w:type="dxa"/>
            </w:tcMar>
            <w:vAlign w:val="center"/>
            <w:shd w:fill="FDECC8"/>
          </w:tcPr>
          <w:p>
            <w:pPr>
              <w:spacing w:after="0" w:before="0" w:line="240" w:lineRule="auto"/>
            </w:pPr>
            <w:r>
              <w:rPr>
                <w:rFonts w:ascii="Aptos" w:hAnsi="Aptos"/>
                <w:b/>
                <w:color w:val="7A4A00"/>
                <w:sz w:val="18"/>
              </w:rPr>
              <w:t>Metric shown</w:t>
            </w:r>
          </w:p>
        </w:tc>
        <w:tc>
          <w:tcPr>
            <w:tcW w:type="dxa" w:w="1800"/>
            <w:tcMar>
              <w:top w:w="90" w:type="dxa"/>
              <w:start w:w="120" w:type="dxa"/>
              <w:bottom w:w="90" w:type="dxa"/>
              <w:end w:w="120" w:type="dxa"/>
            </w:tcMar>
            <w:vAlign w:val="center"/>
            <w:shd w:fill="FDECC8"/>
          </w:tcPr>
          <w:p>
            <w:pPr>
              <w:spacing w:after="0" w:before="0" w:line="240" w:lineRule="auto"/>
            </w:pPr>
            <w:r>
              <w:rPr>
                <w:rFonts w:ascii="Aptos" w:hAnsi="Aptos"/>
                <w:b/>
                <w:color w:val="7A4A00"/>
                <w:sz w:val="18"/>
              </w:rPr>
              <w:t>Best display</w:t>
            </w:r>
          </w:p>
        </w:tc>
        <w:tc>
          <w:tcPr>
            <w:tcW w:type="dxa" w:w="2088"/>
            <w:tcMar>
              <w:top w:w="90" w:type="dxa"/>
              <w:start w:w="120" w:type="dxa"/>
              <w:bottom w:w="90" w:type="dxa"/>
              <w:end w:w="120" w:type="dxa"/>
            </w:tcMar>
            <w:vAlign w:val="center"/>
            <w:shd w:fill="FDECC8"/>
          </w:tcPr>
          <w:p>
            <w:pPr>
              <w:spacing w:after="0" w:before="0" w:line="240" w:lineRule="auto"/>
            </w:pPr>
            <w:r>
              <w:rPr>
                <w:rFonts w:ascii="Aptos" w:hAnsi="Aptos"/>
                <w:b/>
                <w:color w:val="7A4A00"/>
                <w:sz w:val="18"/>
              </w:rPr>
              <w:t>Use in clinic letter</w:t>
            </w:r>
          </w:p>
        </w:tc>
        <w:tc>
          <w:tcPr>
            <w:tcW w:type="dxa" w:w="2376"/>
            <w:tcMar>
              <w:top w:w="90" w:type="dxa"/>
              <w:start w:w="120" w:type="dxa"/>
              <w:bottom w:w="90" w:type="dxa"/>
              <w:end w:w="120" w:type="dxa"/>
            </w:tcMar>
            <w:vAlign w:val="center"/>
            <w:shd w:fill="FDECC8"/>
          </w:tcPr>
          <w:p>
            <w:pPr>
              <w:spacing w:after="0" w:before="0" w:line="240" w:lineRule="auto"/>
            </w:pPr>
            <w:r>
              <w:rPr>
                <w:rFonts w:ascii="Aptos" w:hAnsi="Aptos"/>
                <w:b/>
                <w:color w:val="7A4A00"/>
                <w:sz w:val="18"/>
              </w:rPr>
              <w:t>Trigger / interpretation</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A</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Headache days per month</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Vertical bar chart</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Headline burden graphic</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Shows overall monthly load</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B</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Migraine-feature days vs non-migraine days</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Stacked bar chart</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Phenotype summary</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Useful when mixed headache types coexist</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C</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Average severity and worst severity</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Dual line or paired columns</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Severity paragraph support</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Makes escalation easy to justify</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D</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Acute medication days and high-risk medication days</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Clustered bar chart</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Medication overuse section</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Highlight threshold crossing visually</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E</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Days with nausea, visual symptoms, orthostatic pattern, neck trigger</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Multi-series bar chart</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Associated symptoms section</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Surfaces secondary headache clues</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F</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Missed work / school / usual activity days</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Bar chart</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Disability summary</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Useful for work-impact wording</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G</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Preventive adherence over time</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Line chart or gauge</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Treatment adherence section</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Supports adherence discussion</w:t>
            </w:r>
          </w:p>
        </w:tc>
      </w:tr>
      <w:tr>
        <w:tc>
          <w:tcPr>
            <w:tcW w:type="dxa" w:w="648"/>
            <w:tcMar>
              <w:top w:w="90" w:type="dxa"/>
              <w:start w:w="120" w:type="dxa"/>
              <w:bottom w:w="90" w:type="dxa"/>
              <w:end w:w="120" w:type="dxa"/>
            </w:tcMar>
            <w:vAlign w:val="center"/>
          </w:tcPr>
          <w:p>
            <w:pPr>
              <w:spacing w:after="0" w:before="0" w:line="240" w:lineRule="auto"/>
            </w:pPr>
            <w:r>
              <w:rPr>
                <w:rFonts w:ascii="Aptos" w:hAnsi="Aptos"/>
                <w:sz w:val="18"/>
              </w:rPr>
              <w:t>H</w:t>
            </w:r>
          </w:p>
        </w:tc>
        <w:tc>
          <w:tcPr>
            <w:tcW w:type="dxa" w:w="2880"/>
            <w:tcMar>
              <w:top w:w="90" w:type="dxa"/>
              <w:start w:w="120" w:type="dxa"/>
              <w:bottom w:w="90" w:type="dxa"/>
              <w:end w:w="120" w:type="dxa"/>
            </w:tcMar>
            <w:vAlign w:val="center"/>
          </w:tcPr>
          <w:p>
            <w:pPr>
              <w:spacing w:after="0" w:before="0" w:line="240" w:lineRule="auto"/>
            </w:pPr>
            <w:r>
              <w:rPr>
                <w:rFonts w:ascii="Aptos" w:hAnsi="Aptos"/>
                <w:sz w:val="18"/>
              </w:rPr>
              <w:t>Red-flag events by month</w:t>
            </w:r>
          </w:p>
        </w:tc>
        <w:tc>
          <w:tcPr>
            <w:tcW w:type="dxa" w:w="1800"/>
            <w:tcMar>
              <w:top w:w="90" w:type="dxa"/>
              <w:start w:w="120" w:type="dxa"/>
              <w:bottom w:w="90" w:type="dxa"/>
              <w:end w:w="120" w:type="dxa"/>
            </w:tcMar>
            <w:vAlign w:val="center"/>
          </w:tcPr>
          <w:p>
            <w:pPr>
              <w:spacing w:after="0" w:before="0" w:line="240" w:lineRule="auto"/>
            </w:pPr>
            <w:r>
              <w:rPr>
                <w:rFonts w:ascii="Aptos" w:hAnsi="Aptos"/>
                <w:sz w:val="18"/>
              </w:rPr>
              <w:t>Alert timeline / flagged counters</w:t>
            </w:r>
          </w:p>
        </w:tc>
        <w:tc>
          <w:tcPr>
            <w:tcW w:type="dxa" w:w="2088"/>
            <w:tcMar>
              <w:top w:w="90" w:type="dxa"/>
              <w:start w:w="120" w:type="dxa"/>
              <w:bottom w:w="90" w:type="dxa"/>
              <w:end w:w="120" w:type="dxa"/>
            </w:tcMar>
            <w:vAlign w:val="center"/>
          </w:tcPr>
          <w:p>
            <w:pPr>
              <w:spacing w:after="0" w:before="0" w:line="240" w:lineRule="auto"/>
            </w:pPr>
            <w:r>
              <w:rPr>
                <w:rFonts w:ascii="Aptos" w:hAnsi="Aptos"/>
                <w:sz w:val="18"/>
              </w:rPr>
              <w:t>Red-flag section</w:t>
            </w:r>
          </w:p>
        </w:tc>
        <w:tc>
          <w:tcPr>
            <w:tcW w:type="dxa" w:w="2376"/>
            <w:tcMar>
              <w:top w:w="90" w:type="dxa"/>
              <w:start w:w="120" w:type="dxa"/>
              <w:bottom w:w="90" w:type="dxa"/>
              <w:end w:w="120" w:type="dxa"/>
            </w:tcMar>
            <w:vAlign w:val="center"/>
          </w:tcPr>
          <w:p>
            <w:pPr>
              <w:spacing w:after="0" w:before="0" w:line="240" w:lineRule="auto"/>
            </w:pPr>
            <w:r>
              <w:rPr>
                <w:rFonts w:ascii="Aptos" w:hAnsi="Aptos"/>
                <w:sz w:val="18"/>
              </w:rPr>
              <w:t>Must be visually prominent, ideally amber/red</w:t>
            </w:r>
          </w:p>
        </w:tc>
      </w:tr>
    </w:tbl>
    <w:p>
      <w:pPr>
        <w:pStyle w:val="SectionHead"/>
        <w:spacing w:before="200" w:after="120"/>
      </w:pPr>
      <w:r>
        <w:t>6. Graph design standards</w:t>
      </w:r>
    </w:p>
    <w:p>
      <w:pPr>
        <w:pStyle w:val="ListBullet"/>
        <w:spacing w:after="40"/>
      </w:pPr>
      <w:r>
        <w:t>Use a consistent, headache-service visual palette. Example: blue for overall burden, purple for migraine days, orange for medication exposure, green for adherence, red for red-flag events.</w:t>
      </w:r>
    </w:p>
    <w:p>
      <w:pPr>
        <w:pStyle w:val="ListBullet"/>
        <w:spacing w:after="40"/>
      </w:pPr>
      <w:r>
        <w:t>Every graph should display the calendar month clearly and use the same y-axis logic where comparisons are intended.</w:t>
      </w:r>
    </w:p>
    <w:p>
      <w:pPr>
        <w:pStyle w:val="ListBullet"/>
        <w:spacing w:after="40"/>
      </w:pPr>
      <w:r>
        <w:t>Graphs should be interpretable in colour and in greyscale print; use labels, legends, and data markers rather than colour alone.</w:t>
      </w:r>
    </w:p>
    <w:p>
      <w:pPr>
        <w:pStyle w:val="ListBullet"/>
        <w:spacing w:after="40"/>
      </w:pPr>
      <w:r>
        <w:t>All graphs should be exportable as PNG and embeddable in clinic letters and PDF reports.</w:t>
      </w:r>
    </w:p>
    <w:p>
      <w:pPr>
        <w:pStyle w:val="ListBullet"/>
        <w:spacing w:after="40"/>
      </w:pPr>
      <w:r>
        <w:t>The graph pack should render both as a compact clinician view and as a patient-friendly summary panel.</w:t>
      </w:r>
    </w:p>
    <w:p>
      <w:pPr>
        <w:pStyle w:val="SectionHead"/>
        <w:spacing w:before="200" w:after="120"/>
      </w:pPr>
      <w:r>
        <w:t>7. Paper-form upload workflow</w:t>
      </w:r>
    </w:p>
    <w:p>
      <w:pPr>
        <w:pStyle w:val="ListBullet"/>
        <w:spacing w:after="40"/>
      </w:pPr>
      <w:r>
        <w:t>The paper diary should preserve exact field labels so OCR mapping remains stable.</w:t>
      </w:r>
    </w:p>
    <w:p>
      <w:pPr>
        <w:pStyle w:val="ListBullet"/>
        <w:spacing w:after="40"/>
      </w:pPr>
      <w:r>
        <w:t>On upload, the platform should run OCR or structured form-recognition, then map recognised data into the same portal keys used for direct online entry.</w:t>
      </w:r>
    </w:p>
    <w:p>
      <w:pPr>
        <w:pStyle w:val="ListBullet"/>
        <w:spacing w:after="40"/>
      </w:pPr>
      <w:r>
        <w:t>A verification screen should present the extracted values side by side with the scanned form so staff can correct recognition errors before graph generation.</w:t>
      </w:r>
    </w:p>
    <w:p>
      <w:pPr>
        <w:pStyle w:val="ListBullet"/>
        <w:spacing w:after="40"/>
      </w:pPr>
      <w:r>
        <w:t>Once verified, the platform should calculate the monthly summary automatically and generate the same graph pack as the online-entry route.</w:t>
      </w:r>
    </w:p>
    <w:p>
      <w:pPr>
        <w:pStyle w:val="ListBullet"/>
        <w:spacing w:after="40"/>
      </w:pPr>
      <w:r>
        <w:t>The scanned original should remain viewable as a source document for audit.</w:t>
      </w:r>
    </w:p>
    <w:p>
      <w:pPr>
        <w:pStyle w:val="SectionHead"/>
        <w:spacing w:before="200" w:after="120"/>
      </w:pPr>
      <w:r>
        <w:t>8. Clinic letter auto-population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tcMar>
              <w:top w:w="90" w:type="dxa"/>
              <w:start w:w="120" w:type="dxa"/>
              <w:bottom w:w="90" w:type="dxa"/>
              <w:end w:w="120" w:type="dxa"/>
            </w:tcMar>
            <w:vAlign w:val="center"/>
            <w:shd w:fill="E9F5E7"/>
          </w:tcPr>
          <w:p>
            <w:pPr>
              <w:spacing w:after="0" w:before="0" w:line="240" w:lineRule="auto"/>
            </w:pPr>
            <w:r>
              <w:rPr>
                <w:rFonts w:ascii="Aptos" w:hAnsi="Aptos"/>
                <w:b/>
                <w:color w:val="205522"/>
                <w:sz w:val="18"/>
              </w:rPr>
              <w:t>Diary-derived element</w:t>
            </w:r>
          </w:p>
        </w:tc>
        <w:tc>
          <w:tcPr>
            <w:tcW w:type="dxa" w:w="2520"/>
            <w:tcMar>
              <w:top w:w="90" w:type="dxa"/>
              <w:start w:w="120" w:type="dxa"/>
              <w:bottom w:w="90" w:type="dxa"/>
              <w:end w:w="120" w:type="dxa"/>
            </w:tcMar>
            <w:vAlign w:val="center"/>
            <w:shd w:fill="E9F5E7"/>
          </w:tcPr>
          <w:p>
            <w:pPr>
              <w:spacing w:after="0" w:before="0" w:line="240" w:lineRule="auto"/>
            </w:pPr>
            <w:r>
              <w:rPr>
                <w:rFonts w:ascii="Aptos" w:hAnsi="Aptos"/>
                <w:b/>
                <w:color w:val="205522"/>
                <w:sz w:val="18"/>
              </w:rPr>
              <w:t>Populate clinic letter section</w:t>
            </w:r>
          </w:p>
        </w:tc>
        <w:tc>
          <w:tcPr>
            <w:tcW w:type="dxa" w:w="4320"/>
            <w:tcMar>
              <w:top w:w="90" w:type="dxa"/>
              <w:start w:w="120" w:type="dxa"/>
              <w:bottom w:w="90" w:type="dxa"/>
              <w:end w:w="120" w:type="dxa"/>
            </w:tcMar>
            <w:vAlign w:val="center"/>
            <w:shd w:fill="E9F5E7"/>
          </w:tcPr>
          <w:p>
            <w:pPr>
              <w:spacing w:after="0" w:before="0" w:line="240" w:lineRule="auto"/>
            </w:pPr>
            <w:r>
              <w:rPr>
                <w:rFonts w:ascii="Aptos" w:hAnsi="Aptos"/>
                <w:b/>
                <w:color w:val="205522"/>
                <w:sz w:val="18"/>
              </w:rPr>
              <w:t>Recommended auto-generated wording seed</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Total headache days / month</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Presenting symptoms and analysis</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This month the patient recorded [x] headache days.</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Migraine-feature days / phenotype signals</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Working diagnosis / phenotype review</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Pattern remains most consistent with [template type].</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Average and worst severity</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Presenting symptoms and analysis</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Average severity was [x]/10 with worst attacks reaching [y]/10.</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Acute medication days and high-risk drug days</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Current medication / medication analysis</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Acute medication was used on [x] days; high-risk medication exposure occurred on [y] days.</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Disability days</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Functional impact</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Headache affected work, school, or usual activity on [x] days.</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Visual / orthostatic / neck-triggered days</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Red flags / secondary headache review</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The diary recorded [x] visual-symptom days, [y] orthostatic days, and [z] neck-triggered days.</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Graph pack PNG or embedded objects</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Result review or summary dashboard</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Insert graph panel beneath the monthly summary paragraph.</w:t>
            </w:r>
          </w:p>
        </w:tc>
      </w:tr>
      <w:tr>
        <w:tc>
          <w:tcPr>
            <w:tcW w:type="dxa" w:w="3024"/>
            <w:tcMar>
              <w:top w:w="90" w:type="dxa"/>
              <w:start w:w="120" w:type="dxa"/>
              <w:bottom w:w="90" w:type="dxa"/>
              <w:end w:w="120" w:type="dxa"/>
            </w:tcMar>
            <w:vAlign w:val="center"/>
          </w:tcPr>
          <w:p>
            <w:pPr>
              <w:spacing w:after="0" w:before="0" w:line="240" w:lineRule="auto"/>
            </w:pPr>
            <w:r>
              <w:rPr>
                <w:rFonts w:ascii="Aptos" w:hAnsi="Aptos"/>
                <w:sz w:val="18"/>
              </w:rPr>
              <w:t>Red-flag checklist</w:t>
            </w:r>
          </w:p>
        </w:tc>
        <w:tc>
          <w:tcPr>
            <w:tcW w:type="dxa" w:w="2520"/>
            <w:tcMar>
              <w:top w:w="90" w:type="dxa"/>
              <w:start w:w="120" w:type="dxa"/>
              <w:bottom w:w="90" w:type="dxa"/>
              <w:end w:w="120" w:type="dxa"/>
            </w:tcMar>
            <w:vAlign w:val="center"/>
          </w:tcPr>
          <w:p>
            <w:pPr>
              <w:spacing w:after="0" w:before="0" w:line="240" w:lineRule="auto"/>
            </w:pPr>
            <w:r>
              <w:rPr>
                <w:rFonts w:ascii="Aptos" w:hAnsi="Aptos"/>
                <w:sz w:val="18"/>
              </w:rPr>
              <w:t>Separate list of red-flag symptoms and signs</w:t>
            </w:r>
          </w:p>
        </w:tc>
        <w:tc>
          <w:tcPr>
            <w:tcW w:type="dxa" w:w="4320"/>
            <w:tcMar>
              <w:top w:w="90" w:type="dxa"/>
              <w:start w:w="120" w:type="dxa"/>
              <w:bottom w:w="90" w:type="dxa"/>
              <w:end w:w="120" w:type="dxa"/>
            </w:tcMar>
            <w:vAlign w:val="center"/>
          </w:tcPr>
          <w:p>
            <w:pPr>
              <w:spacing w:after="0" w:before="0" w:line="240" w:lineRule="auto"/>
            </w:pPr>
            <w:r>
              <w:rPr>
                <w:rFonts w:ascii="Aptos" w:hAnsi="Aptos"/>
                <w:sz w:val="18"/>
              </w:rPr>
              <w:t>Auto-list only positive items with date and action field.</w:t>
            </w:r>
          </w:p>
        </w:tc>
      </w:tr>
    </w:tbl>
    <w:p>
      <w:pPr>
        <w:pStyle w:val="SectionHead"/>
        <w:spacing w:before="200" w:after="120"/>
      </w:pPr>
      <w:r>
        <w:t>9. Tooltip / hover-icon content library for the portal</w:t>
      </w:r>
    </w:p>
    <w:p>
      <w:pPr/>
      <w:r>
        <w:t>These prompts should appear behind an information icon so the free-text boxes can remain visually clean.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664"/>
            <w:tcMar>
              <w:top w:w="90" w:type="dxa"/>
              <w:start w:w="120" w:type="dxa"/>
              <w:bottom w:w="90" w:type="dxa"/>
              <w:end w:w="120" w:type="dxa"/>
            </w:tcMar>
            <w:vAlign w:val="center"/>
            <w:shd w:fill="EFE6F9"/>
          </w:tcPr>
          <w:p>
            <w:pPr>
              <w:spacing w:after="0" w:before="0" w:line="240" w:lineRule="auto"/>
            </w:pPr>
            <w:r>
              <w:rPr>
                <w:rFonts w:ascii="Aptos" w:hAnsi="Aptos"/>
                <w:b/>
                <w:color w:val="4E2A73"/>
                <w:sz w:val="18"/>
              </w:rPr>
              <w:t>Section</w:t>
            </w:r>
          </w:p>
        </w:tc>
        <w:tc>
          <w:tcPr>
            <w:tcW w:type="dxa" w:w="7128"/>
            <w:tcMar>
              <w:top w:w="90" w:type="dxa"/>
              <w:start w:w="120" w:type="dxa"/>
              <w:bottom w:w="90" w:type="dxa"/>
              <w:end w:w="120" w:type="dxa"/>
            </w:tcMar>
            <w:vAlign w:val="center"/>
            <w:shd w:fill="EFE6F9"/>
          </w:tcPr>
          <w:p>
            <w:pPr>
              <w:spacing w:after="0" w:before="0" w:line="240" w:lineRule="auto"/>
            </w:pPr>
            <w:r>
              <w:rPr>
                <w:rFonts w:ascii="Aptos" w:hAnsi="Aptos"/>
                <w:b/>
                <w:color w:val="4E2A73"/>
                <w:sz w:val="18"/>
              </w:rPr>
              <w:t>Suggested hover text</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Presenting symptoms and analysis</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Focus on frequency, duration, severity, disability, pattern change, key associated symptoms, response to acute treatment, and whether the diary suggests a mixed phenotype or secondary cause.</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Current medication</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Record exact dose, schedule, adherence, efficacy, side effects, and any medication-overuse concern.</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Clinical examination</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Document targeted headache and neurologic examination findings, fundoscopy status if relevant, neck findings where appropriate, and any abnormal signs that redirect the diagnosis.</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Result review</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Summarise important imaging, blood tests, ophthalmology findings, sleep study results, or other investigations that change management.</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Management plan and treatment</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State acute treatment, preventive plan, non-pharmacologic measures, safety-netting, and escalation pathway.</w:t>
            </w:r>
          </w:p>
        </w:tc>
      </w:tr>
      <w:tr>
        <w:tc>
          <w:tcPr>
            <w:tcW w:type="dxa" w:w="2664"/>
            <w:tcMar>
              <w:top w:w="90" w:type="dxa"/>
              <w:start w:w="120" w:type="dxa"/>
              <w:bottom w:w="90" w:type="dxa"/>
              <w:end w:w="120" w:type="dxa"/>
            </w:tcMar>
            <w:vAlign w:val="center"/>
          </w:tcPr>
          <w:p>
            <w:pPr>
              <w:spacing w:after="0" w:before="0" w:line="240" w:lineRule="auto"/>
            </w:pPr>
            <w:r>
              <w:rPr>
                <w:rFonts w:ascii="Aptos" w:hAnsi="Aptos"/>
                <w:sz w:val="18"/>
              </w:rPr>
              <w:t>Follow-up plan</w:t>
            </w:r>
          </w:p>
        </w:tc>
        <w:tc>
          <w:tcPr>
            <w:tcW w:type="dxa" w:w="7128"/>
            <w:tcMar>
              <w:top w:w="90" w:type="dxa"/>
              <w:start w:w="120" w:type="dxa"/>
              <w:bottom w:w="90" w:type="dxa"/>
              <w:end w:w="120" w:type="dxa"/>
            </w:tcMar>
            <w:vAlign w:val="center"/>
          </w:tcPr>
          <w:p>
            <w:pPr>
              <w:spacing w:after="0" w:before="0" w:line="240" w:lineRule="auto"/>
            </w:pPr>
            <w:r>
              <w:rPr>
                <w:rFonts w:ascii="Aptos" w:hAnsi="Aptos"/>
                <w:sz w:val="18"/>
              </w:rPr>
              <w:t>Specify timeframe, trigger for earlier review, and what should be measured next time, including diary continuation and repeat graph review.</w:t>
            </w:r>
          </w:p>
        </w:tc>
      </w:tr>
    </w:tbl>
    <w:p>
      <w:pPr>
        <w:pStyle w:val="SectionHead"/>
        <w:spacing w:before="200" w:after="120"/>
      </w:pPr>
      <w:r>
        <w:t>10. Computed fields required for automation</w:t>
      </w:r>
    </w:p>
    <w:p>
      <w:pPr>
        <w:pStyle w:val="ListBullet"/>
        <w:spacing w:after="40"/>
      </w:pPr>
      <w:r>
        <w:t>burden.headache_days_month</w:t>
      </w:r>
    </w:p>
    <w:p>
      <w:pPr>
        <w:pStyle w:val="ListBullet"/>
        <w:spacing w:after="40"/>
      </w:pPr>
      <w:r>
        <w:t>burden.migraine_days_month</w:t>
      </w:r>
    </w:p>
    <w:p>
      <w:pPr>
        <w:pStyle w:val="ListBullet"/>
        <w:spacing w:after="40"/>
      </w:pPr>
      <w:r>
        <w:t>burden.avg_severity</w:t>
      </w:r>
    </w:p>
    <w:p>
      <w:pPr>
        <w:pStyle w:val="ListBullet"/>
        <w:spacing w:after="40"/>
      </w:pPr>
      <w:r>
        <w:t>burden.max_severity</w:t>
      </w:r>
    </w:p>
    <w:p>
      <w:pPr>
        <w:pStyle w:val="ListBullet"/>
        <w:spacing w:after="40"/>
      </w:pPr>
      <w:r>
        <w:t>meds.acute_days_total</w:t>
      </w:r>
    </w:p>
    <w:p>
      <w:pPr>
        <w:pStyle w:val="ListBullet"/>
        <w:spacing w:after="40"/>
      </w:pPr>
      <w:r>
        <w:t>meds.high_risk_days</w:t>
      </w:r>
    </w:p>
    <w:p>
      <w:pPr>
        <w:pStyle w:val="ListBullet"/>
        <w:spacing w:after="40"/>
      </w:pPr>
      <w:r>
        <w:t>burden.disability_days</w:t>
      </w:r>
    </w:p>
    <w:p>
      <w:pPr>
        <w:pStyle w:val="ListBullet"/>
        <w:spacing w:after="40"/>
      </w:pPr>
      <w:r>
        <w:t>symptoms.nausea_days</w:t>
      </w:r>
    </w:p>
    <w:p>
      <w:pPr>
        <w:pStyle w:val="ListBullet"/>
        <w:spacing w:after="40"/>
      </w:pPr>
      <w:r>
        <w:t>symptoms.visual_days</w:t>
      </w:r>
    </w:p>
    <w:p>
      <w:pPr>
        <w:pStyle w:val="ListBullet"/>
        <w:spacing w:after="40"/>
      </w:pPr>
      <w:r>
        <w:t>symptoms.orthostatic_days</w:t>
      </w:r>
    </w:p>
    <w:p>
      <w:pPr>
        <w:pStyle w:val="ListBullet"/>
        <w:spacing w:after="40"/>
      </w:pPr>
      <w:r>
        <w:t>symptoms.neck_trigger_days</w:t>
      </w:r>
    </w:p>
    <w:p>
      <w:pPr>
        <w:pStyle w:val="ListBullet"/>
        <w:spacing w:after="40"/>
      </w:pPr>
      <w:r>
        <w:t>meds.preventive_adherence</w:t>
      </w:r>
    </w:p>
    <w:p>
      <w:pPr>
        <w:pStyle w:val="ListBullet"/>
        <w:spacing w:after="40"/>
      </w:pPr>
      <w:r>
        <w:t>meds.side_effects</w:t>
      </w:r>
    </w:p>
    <w:p>
      <w:pPr>
        <w:pStyle w:val="ListBullet"/>
        <w:spacing w:after="40"/>
      </w:pPr>
      <w:r>
        <w:t>redflags.*</w:t>
      </w:r>
    </w:p>
    <w:p>
      <w:pPr>
        <w:pStyle w:val="ListBullet"/>
        <w:spacing w:after="40"/>
      </w:pPr>
      <w:r>
        <w:t>routing.primary_template</w:t>
      </w:r>
    </w:p>
    <w:p>
      <w:pPr>
        <w:pStyle w:val="ListBullet"/>
        <w:spacing w:after="40"/>
      </w:pPr>
      <w:r>
        <w:t>routing.secondary_alerts[]</w:t>
      </w:r>
    </w:p>
    <w:p>
      <w:pPr>
        <w:pStyle w:val="ListBullet"/>
        <w:spacing w:after="40"/>
      </w:pPr>
      <w:r>
        <w:t>graphs.monthly_summary_pack_url</w:t>
      </w:r>
    </w:p>
    <w:p>
      <w:pPr>
        <w:pStyle w:val="SectionHead"/>
        <w:spacing w:before="200" w:after="120"/>
      </w:pPr>
      <w:r>
        <w:t>11. Threshold and alert logic to implement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tcMar>
              <w:top w:w="90" w:type="dxa"/>
              <w:start w:w="120" w:type="dxa"/>
              <w:bottom w:w="90" w:type="dxa"/>
              <w:end w:w="120" w:type="dxa"/>
            </w:tcMar>
            <w:vAlign w:val="center"/>
            <w:shd w:fill="FBE4E6"/>
          </w:tcPr>
          <w:p>
            <w:pPr>
              <w:spacing w:after="0" w:before="0" w:line="240" w:lineRule="auto"/>
            </w:pPr>
            <w:r>
              <w:rPr>
                <w:rFonts w:ascii="Aptos" w:hAnsi="Aptos"/>
                <w:b/>
                <w:color w:val="7A1F2D"/>
                <w:sz w:val="18"/>
              </w:rPr>
              <w:t>Rule</w:t>
            </w:r>
          </w:p>
        </w:tc>
        <w:tc>
          <w:tcPr>
            <w:tcW w:type="dxa" w:w="3312"/>
            <w:tcMar>
              <w:top w:w="90" w:type="dxa"/>
              <w:start w:w="120" w:type="dxa"/>
              <w:bottom w:w="90" w:type="dxa"/>
              <w:end w:w="120" w:type="dxa"/>
            </w:tcMar>
            <w:vAlign w:val="center"/>
            <w:shd w:fill="FBE4E6"/>
          </w:tcPr>
          <w:p>
            <w:pPr>
              <w:spacing w:after="0" w:before="0" w:line="240" w:lineRule="auto"/>
            </w:pPr>
            <w:r>
              <w:rPr>
                <w:rFonts w:ascii="Aptos" w:hAnsi="Aptos"/>
                <w:b/>
                <w:color w:val="7A1F2D"/>
                <w:sz w:val="18"/>
              </w:rPr>
              <w:t>Suggested threshold</w:t>
            </w:r>
          </w:p>
        </w:tc>
        <w:tc>
          <w:tcPr>
            <w:tcW w:type="dxa" w:w="4104"/>
            <w:tcMar>
              <w:top w:w="90" w:type="dxa"/>
              <w:start w:w="120" w:type="dxa"/>
              <w:bottom w:w="90" w:type="dxa"/>
              <w:end w:w="120" w:type="dxa"/>
            </w:tcMar>
            <w:vAlign w:val="center"/>
            <w:shd w:fill="FBE4E6"/>
          </w:tcPr>
          <w:p>
            <w:pPr>
              <w:spacing w:after="0" w:before="0" w:line="240" w:lineRule="auto"/>
            </w:pPr>
            <w:r>
              <w:rPr>
                <w:rFonts w:ascii="Aptos" w:hAnsi="Aptos"/>
                <w:b/>
                <w:color w:val="7A1F2D"/>
                <w:sz w:val="18"/>
              </w:rPr>
              <w:t>Action</w:t>
            </w:r>
          </w:p>
        </w:tc>
      </w:tr>
      <w:tr>
        <w:tc>
          <w:tcPr>
            <w:tcW w:type="dxa" w:w="2376"/>
            <w:tcMar>
              <w:top w:w="90" w:type="dxa"/>
              <w:start w:w="120" w:type="dxa"/>
              <w:bottom w:w="90" w:type="dxa"/>
              <w:end w:w="120" w:type="dxa"/>
            </w:tcMar>
            <w:vAlign w:val="center"/>
          </w:tcPr>
          <w:p>
            <w:pPr>
              <w:spacing w:after="0" w:before="0" w:line="240" w:lineRule="auto"/>
            </w:pPr>
            <w:r>
              <w:rPr>
                <w:rFonts w:ascii="Aptos" w:hAnsi="Aptos"/>
                <w:sz w:val="18"/>
              </w:rPr>
              <w:t>Medication overuse concern</w:t>
            </w:r>
          </w:p>
        </w:tc>
        <w:tc>
          <w:tcPr>
            <w:tcW w:type="dxa" w:w="3312"/>
            <w:tcMar>
              <w:top w:w="90" w:type="dxa"/>
              <w:start w:w="120" w:type="dxa"/>
              <w:bottom w:w="90" w:type="dxa"/>
              <w:end w:w="120" w:type="dxa"/>
            </w:tcMar>
            <w:vAlign w:val="center"/>
          </w:tcPr>
          <w:p>
            <w:pPr>
              <w:spacing w:after="0" w:before="0" w:line="240" w:lineRule="auto"/>
            </w:pPr>
            <w:r>
              <w:rPr>
                <w:rFonts w:ascii="Aptos" w:hAnsi="Aptos"/>
                <w:sz w:val="18"/>
              </w:rPr>
              <w:t>Use local or ICHD thresholds based on class and days used</w:t>
            </w:r>
          </w:p>
        </w:tc>
        <w:tc>
          <w:tcPr>
            <w:tcW w:type="dxa" w:w="4104"/>
            <w:tcMar>
              <w:top w:w="90" w:type="dxa"/>
              <w:start w:w="120" w:type="dxa"/>
              <w:bottom w:w="90" w:type="dxa"/>
              <w:end w:w="120" w:type="dxa"/>
            </w:tcMar>
            <w:vAlign w:val="center"/>
          </w:tcPr>
          <w:p>
            <w:pPr>
              <w:spacing w:after="0" w:before="0" w:line="240" w:lineRule="auto"/>
            </w:pPr>
            <w:r>
              <w:rPr>
                <w:rFonts w:ascii="Aptos" w:hAnsi="Aptos"/>
                <w:sz w:val="18"/>
              </w:rPr>
              <w:t>Flag in amber/red and route to MOH review wording</w:t>
            </w:r>
          </w:p>
        </w:tc>
      </w:tr>
      <w:tr>
        <w:tc>
          <w:tcPr>
            <w:tcW w:type="dxa" w:w="2376"/>
            <w:tcMar>
              <w:top w:w="90" w:type="dxa"/>
              <w:start w:w="120" w:type="dxa"/>
              <w:bottom w:w="90" w:type="dxa"/>
              <w:end w:w="120" w:type="dxa"/>
            </w:tcMar>
            <w:vAlign w:val="center"/>
          </w:tcPr>
          <w:p>
            <w:pPr>
              <w:spacing w:after="0" w:before="0" w:line="240" w:lineRule="auto"/>
            </w:pPr>
            <w:r>
              <w:rPr>
                <w:rFonts w:ascii="Aptos" w:hAnsi="Aptos"/>
                <w:sz w:val="18"/>
              </w:rPr>
              <w:t>Possible secondary headache</w:t>
            </w:r>
          </w:p>
        </w:tc>
        <w:tc>
          <w:tcPr>
            <w:tcW w:type="dxa" w:w="3312"/>
            <w:tcMar>
              <w:top w:w="90" w:type="dxa"/>
              <w:start w:w="120" w:type="dxa"/>
              <w:bottom w:w="90" w:type="dxa"/>
              <w:end w:w="120" w:type="dxa"/>
            </w:tcMar>
            <w:vAlign w:val="center"/>
          </w:tcPr>
          <w:p>
            <w:pPr>
              <w:spacing w:after="0" w:before="0" w:line="240" w:lineRule="auto"/>
            </w:pPr>
            <w:r>
              <w:rPr>
                <w:rFonts w:ascii="Aptos" w:hAnsi="Aptos"/>
                <w:sz w:val="18"/>
              </w:rPr>
              <w:t>Any positive thunderclap, new focal deficit, progressive visual loss, orthostatic pattern, systemic illness, pregnancy/post-partum, cancer history, or major pattern change</w:t>
            </w:r>
          </w:p>
        </w:tc>
        <w:tc>
          <w:tcPr>
            <w:tcW w:type="dxa" w:w="4104"/>
            <w:tcMar>
              <w:top w:w="90" w:type="dxa"/>
              <w:start w:w="120" w:type="dxa"/>
              <w:bottom w:w="90" w:type="dxa"/>
              <w:end w:w="120" w:type="dxa"/>
            </w:tcMar>
            <w:vAlign w:val="center"/>
          </w:tcPr>
          <w:p>
            <w:pPr>
              <w:spacing w:after="0" w:before="0" w:line="240" w:lineRule="auto"/>
            </w:pPr>
            <w:r>
              <w:rPr>
                <w:rFonts w:ascii="Aptos" w:hAnsi="Aptos"/>
                <w:sz w:val="18"/>
              </w:rPr>
              <w:t>Display urgent alert banner and suppress routine-only autopopulation</w:t>
            </w:r>
          </w:p>
        </w:tc>
      </w:tr>
      <w:tr>
        <w:tc>
          <w:tcPr>
            <w:tcW w:type="dxa" w:w="2376"/>
            <w:tcMar>
              <w:top w:w="90" w:type="dxa"/>
              <w:start w:w="120" w:type="dxa"/>
              <w:bottom w:w="90" w:type="dxa"/>
              <w:end w:w="120" w:type="dxa"/>
            </w:tcMar>
            <w:vAlign w:val="center"/>
          </w:tcPr>
          <w:p>
            <w:pPr>
              <w:spacing w:after="0" w:before="0" w:line="240" w:lineRule="auto"/>
            </w:pPr>
            <w:r>
              <w:rPr>
                <w:rFonts w:ascii="Aptos" w:hAnsi="Aptos"/>
                <w:sz w:val="18"/>
              </w:rPr>
              <w:t>Possible IIH pathway</w:t>
            </w:r>
          </w:p>
        </w:tc>
        <w:tc>
          <w:tcPr>
            <w:tcW w:type="dxa" w:w="3312"/>
            <w:tcMar>
              <w:top w:w="90" w:type="dxa"/>
              <w:start w:w="120" w:type="dxa"/>
              <w:bottom w:w="90" w:type="dxa"/>
              <w:end w:w="120" w:type="dxa"/>
            </w:tcMar>
            <w:vAlign w:val="center"/>
          </w:tcPr>
          <w:p>
            <w:pPr>
              <w:spacing w:after="0" w:before="0" w:line="240" w:lineRule="auto"/>
            </w:pPr>
            <w:r>
              <w:rPr>
                <w:rFonts w:ascii="Aptos" w:hAnsi="Aptos"/>
                <w:sz w:val="18"/>
              </w:rPr>
              <w:t>Visual obscuration days, pulsatile tinnitus wording, papilloedema entry, obesity risk marker</w:t>
            </w:r>
          </w:p>
        </w:tc>
        <w:tc>
          <w:tcPr>
            <w:tcW w:type="dxa" w:w="4104"/>
            <w:tcMar>
              <w:top w:w="90" w:type="dxa"/>
              <w:start w:w="120" w:type="dxa"/>
              <w:bottom w:w="90" w:type="dxa"/>
              <w:end w:w="120" w:type="dxa"/>
            </w:tcMar>
            <w:vAlign w:val="center"/>
          </w:tcPr>
          <w:p>
            <w:pPr>
              <w:spacing w:after="0" w:before="0" w:line="240" w:lineRule="auto"/>
            </w:pPr>
            <w:r>
              <w:rPr>
                <w:rFonts w:ascii="Aptos" w:hAnsi="Aptos"/>
                <w:sz w:val="18"/>
              </w:rPr>
              <w:t>Route to IIH template and emphasise ophthalmology / imaging review</w:t>
            </w:r>
          </w:p>
        </w:tc>
      </w:tr>
      <w:tr>
        <w:tc>
          <w:tcPr>
            <w:tcW w:type="dxa" w:w="2376"/>
            <w:tcMar>
              <w:top w:w="90" w:type="dxa"/>
              <w:start w:w="120" w:type="dxa"/>
              <w:bottom w:w="90" w:type="dxa"/>
              <w:end w:w="120" w:type="dxa"/>
            </w:tcMar>
            <w:vAlign w:val="center"/>
          </w:tcPr>
          <w:p>
            <w:pPr>
              <w:spacing w:after="0" w:before="0" w:line="240" w:lineRule="auto"/>
            </w:pPr>
            <w:r>
              <w:rPr>
                <w:rFonts w:ascii="Aptos" w:hAnsi="Aptos"/>
                <w:sz w:val="18"/>
              </w:rPr>
              <w:t>Possible SIH pathway</w:t>
            </w:r>
          </w:p>
        </w:tc>
        <w:tc>
          <w:tcPr>
            <w:tcW w:type="dxa" w:w="3312"/>
            <w:tcMar>
              <w:top w:w="90" w:type="dxa"/>
              <w:start w:w="120" w:type="dxa"/>
              <w:bottom w:w="90" w:type="dxa"/>
              <w:end w:w="120" w:type="dxa"/>
            </w:tcMar>
            <w:vAlign w:val="center"/>
          </w:tcPr>
          <w:p>
            <w:pPr>
              <w:spacing w:after="0" w:before="0" w:line="240" w:lineRule="auto"/>
            </w:pPr>
            <w:r>
              <w:rPr>
                <w:rFonts w:ascii="Aptos" w:hAnsi="Aptos"/>
                <w:sz w:val="18"/>
              </w:rPr>
              <w:t>Orthostatic days, marked recumbent relief, neck pain, low-pressure symptom cluster</w:t>
            </w:r>
          </w:p>
        </w:tc>
        <w:tc>
          <w:tcPr>
            <w:tcW w:type="dxa" w:w="4104"/>
            <w:tcMar>
              <w:top w:w="90" w:type="dxa"/>
              <w:start w:w="120" w:type="dxa"/>
              <w:bottom w:w="90" w:type="dxa"/>
              <w:end w:w="120" w:type="dxa"/>
            </w:tcMar>
            <w:vAlign w:val="center"/>
          </w:tcPr>
          <w:p>
            <w:pPr>
              <w:spacing w:after="0" w:before="0" w:line="240" w:lineRule="auto"/>
            </w:pPr>
            <w:r>
              <w:rPr>
                <w:rFonts w:ascii="Aptos" w:hAnsi="Aptos"/>
                <w:sz w:val="18"/>
              </w:rPr>
              <w:t>Route to SIH template / investigation prompt</w:t>
            </w:r>
          </w:p>
        </w:tc>
      </w:tr>
      <w:tr>
        <w:tc>
          <w:tcPr>
            <w:tcW w:type="dxa" w:w="2376"/>
            <w:tcMar>
              <w:top w:w="90" w:type="dxa"/>
              <w:start w:w="120" w:type="dxa"/>
              <w:bottom w:w="90" w:type="dxa"/>
              <w:end w:w="120" w:type="dxa"/>
            </w:tcMar>
            <w:vAlign w:val="center"/>
          </w:tcPr>
          <w:p>
            <w:pPr>
              <w:spacing w:after="0" w:before="0" w:line="240" w:lineRule="auto"/>
            </w:pPr>
            <w:r>
              <w:rPr>
                <w:rFonts w:ascii="Aptos" w:hAnsi="Aptos"/>
                <w:sz w:val="18"/>
              </w:rPr>
              <w:t>Cervicogenic / occipital neuralgia signal</w:t>
            </w:r>
          </w:p>
        </w:tc>
        <w:tc>
          <w:tcPr>
            <w:tcW w:type="dxa" w:w="3312"/>
            <w:tcMar>
              <w:top w:w="90" w:type="dxa"/>
              <w:start w:w="120" w:type="dxa"/>
              <w:bottom w:w="90" w:type="dxa"/>
              <w:end w:w="120" w:type="dxa"/>
            </w:tcMar>
            <w:vAlign w:val="center"/>
          </w:tcPr>
          <w:p>
            <w:pPr>
              <w:spacing w:after="0" w:before="0" w:line="240" w:lineRule="auto"/>
            </w:pPr>
            <w:r>
              <w:rPr>
                <w:rFonts w:ascii="Aptos" w:hAnsi="Aptos"/>
                <w:sz w:val="18"/>
              </w:rPr>
              <w:t>Repeated neck-triggered or posterior neuralgic entries</w:t>
            </w:r>
          </w:p>
        </w:tc>
        <w:tc>
          <w:tcPr>
            <w:tcW w:type="dxa" w:w="4104"/>
            <w:tcMar>
              <w:top w:w="90" w:type="dxa"/>
              <w:start w:w="120" w:type="dxa"/>
              <w:bottom w:w="90" w:type="dxa"/>
              <w:end w:w="120" w:type="dxa"/>
            </w:tcMar>
            <w:vAlign w:val="center"/>
          </w:tcPr>
          <w:p>
            <w:pPr>
              <w:spacing w:after="0" w:before="0" w:line="240" w:lineRule="auto"/>
            </w:pPr>
            <w:r>
              <w:rPr>
                <w:rFonts w:ascii="Aptos" w:hAnsi="Aptos"/>
                <w:sz w:val="18"/>
              </w:rPr>
              <w:t>Route to cervicogenic / occipital section prompts</w:t>
            </w:r>
          </w:p>
        </w:tc>
      </w:tr>
    </w:tbl>
    <w:p>
      <w:pPr>
        <w:pStyle w:val="SectionHead"/>
        <w:spacing w:before="200" w:after="120"/>
      </w:pPr>
      <w:r>
        <w:t>12. Recommended outputs available to the clinician</w:t>
      </w:r>
    </w:p>
    <w:p>
      <w:pPr>
        <w:pStyle w:val="ListBullet"/>
        <w:spacing w:after="40"/>
      </w:pPr>
      <w:r>
        <w:t>Structured monthly summary paragraph for direct insertion into the clinic letter.</w:t>
      </w:r>
    </w:p>
    <w:p>
      <w:pPr>
        <w:pStyle w:val="ListBullet"/>
        <w:spacing w:after="40"/>
      </w:pPr>
      <w:r>
        <w:t>Graph panel image or embedded object for the month under review.</w:t>
      </w:r>
    </w:p>
    <w:p>
      <w:pPr>
        <w:pStyle w:val="ListBullet"/>
        <w:spacing w:after="40"/>
      </w:pPr>
      <w:r>
        <w:t>Red-flag panel listing only positive items with date and action box.</w:t>
      </w:r>
    </w:p>
    <w:p>
      <w:pPr>
        <w:pStyle w:val="ListBullet"/>
        <w:spacing w:after="40"/>
      </w:pPr>
      <w:r>
        <w:t>Medication overuse panel showing total acute medication exposure and high-risk days.</w:t>
      </w:r>
    </w:p>
    <w:p>
      <w:pPr>
        <w:pStyle w:val="ListBullet"/>
        <w:spacing w:after="40"/>
      </w:pPr>
      <w:r>
        <w:t>Trend view comparing the current month with at least the previous two to six months.</w:t>
      </w:r>
    </w:p>
    <w:p>
      <w:pPr>
        <w:pStyle w:val="SectionHead"/>
        <w:spacing w:before="200" w:after="120"/>
      </w:pPr>
      <w:r>
        <w:t>13. Practical implementation note for developers</w:t>
      </w:r>
    </w:p>
    <w:p>
      <w:pPr/>
      <w:r>
        <w:rPr>
          <w:b/>
        </w:rPr>
        <w:t xml:space="preserve">Recommended architecture: </w:t>
      </w:r>
      <w:r>
        <w:t>web form or OCR ingestion → structured field mapping → summary calculator → graph renderer → clinic-letter API or document generator. The source diary should remain editable, but computed fields and graphs should regenerate automatically each time the monthly review summary is updated.</w:t>
      </w:r>
    </w:p>
    <w:p>
      <w:pPr>
        <w:pStyle w:val="SectionHead"/>
        <w:spacing w:before="200" w:after="120"/>
      </w:pPr>
      <w:r>
        <w:t>14. Version control and naming</w:t>
      </w:r>
    </w:p>
    <w:p>
      <w:pPr/>
      <w:r>
        <w:rPr>
          <w:b/>
        </w:rPr>
        <w:t xml:space="preserve">Recommended file / module name: </w:t>
      </w:r>
      <w:r>
        <w:t>Integrated_Headache_Diary_Portal_Template_V2</w:t>
      </w:r>
    </w:p>
    <w:p>
      <w:pPr>
        <w:pStyle w:val="SectionHead"/>
        <w:spacing w:before="200" w:after="120"/>
      </w:pPr>
      <w:r>
        <w:t>Appendix: retained portal mapping principles from the current template</w:t>
      </w:r>
    </w:p>
    <w:p>
      <w:pPr>
        <w:pStyle w:val="ListBullet"/>
        <w:spacing w:after="40"/>
      </w:pPr>
      <w:r>
        <w:t>Preserve exact field labels for reliable portal mapping.</w:t>
      </w:r>
    </w:p>
    <w:p>
      <w:pPr>
        <w:pStyle w:val="ListBullet"/>
        <w:spacing w:after="40"/>
      </w:pPr>
      <w:r>
        <w:t>Map diary-derived values into the relevant follow-up template based on phenotype routing logic.</w:t>
      </w:r>
    </w:p>
    <w:p>
      <w:pPr>
        <w:pStyle w:val="ListBullet"/>
        <w:spacing w:after="40"/>
      </w:pPr>
      <w:r>
        <w:t>Keep patient identifiers, burden fields, symptom counters, medication counters, and red-flag fields as discrete searchable keys.</w:t>
      </w:r>
    </w:p>
    <w:p>
      <w:pPr>
        <w:pStyle w:val="ListBullet"/>
        <w:spacing w:after="40"/>
      </w:pPr>
      <w:r>
        <w:t>Allow the clinician to override automated routing, but never hide positive red flags.</w:t>
      </w:r>
    </w:p>
    <w:p>
      <w:pPr>
        <w:pStyle w:val="SmallNote"/>
        <w:jc w:val="center"/>
      </w:pPr>
      <w:r>
        <w:t>Prepared as an updated specification based on the uploaded integrated headache diary template and the requested automation features.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17324D"/>
      <w:sz w:val="40"/>
    </w:rPr>
  </w:style>
  <w:style w:type="paragraph" w:customStyle="1" w:styleId="SubTitleCustom">
    <w:name w:val="SubTitleCustom"/>
    <w:basedOn w:val="Normal"/>
    <w:rPr>
      <w:rFonts w:ascii="Aptos" w:hAnsi="Aptos"/>
      <w:b w:val="0"/>
      <w:color w:val="5B6B7A"/>
      <w:sz w:val="21"/>
    </w:rPr>
  </w:style>
  <w:style w:type="paragraph" w:customStyle="1" w:styleId="SectionHead">
    <w:name w:val="SectionHead"/>
    <w:basedOn w:val="Normal"/>
    <w:rPr>
      <w:rFonts w:ascii="Aptos" w:hAnsi="Aptos"/>
      <w:b/>
      <w:color w:val="17324D"/>
      <w:sz w:val="26"/>
    </w:rPr>
  </w:style>
  <w:style w:type="paragraph" w:customStyle="1" w:styleId="SubHead">
    <w:name w:val="SubHead"/>
    <w:basedOn w:val="Normal"/>
    <w:rPr>
      <w:rFonts w:ascii="Aptos" w:hAnsi="Aptos"/>
      <w:b/>
      <w:color w:val="1F4E79"/>
      <w:sz w:val="22"/>
    </w:rPr>
  </w:style>
  <w:style w:type="paragraph" w:customStyle="1" w:styleId="SmallNote">
    <w:name w:val="SmallNote"/>
    <w:basedOn w:val="Normal"/>
    <w:rPr>
      <w:rFonts w:ascii="Aptos" w:hAnsi="Aptos"/>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