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240" w:lineRule="auto"/>
        <w:jc w:val="center"/>
      </w:pPr>
      <w:r>
        <w:rPr>
          <w:rFonts w:ascii="Aptos Display" w:hAnsi="Aptos Display"/>
          <w:b/>
          <w:color w:val="1F3A5F"/>
          <w:sz w:val="48"/>
        </w:rPr>
        <w:t>Tension-Type Headache in Adults</w:t>
      </w:r>
    </w:p>
    <w:p>
      <w:pPr>
        <w:pStyle w:val="SubtitleCustom"/>
        <w:spacing w:before="40" w:after="160" w:line="276" w:lineRule="auto"/>
        <w:jc w:val="center"/>
      </w:pPr>
      <w:r>
        <w:t>Cohesive evidence-based guideline summary covering diagnosis, acute treatment, prevention, and practical implementation</w:t>
      </w:r>
    </w:p>
    <w:tbl>
      <w:tblPr>
        <w:tblW w:type="auto" w:w="0"/>
        <w:jc w:val="center"/>
        <w:tblLayout w:type="fixed"/>
        <w:tblLook w:firstColumn="1" w:firstRow="1" w:lastColumn="0" w:lastRow="0" w:noHBand="0" w:noVBand="1" w:val="04A0"/>
        <w:tblBorders>
          <w:top w:val="single" w:sz="8" w:space="0" w:color="C9D4E5"/>
          <w:left w:val="single" w:sz="8" w:space="0" w:color="C9D4E5"/>
          <w:bottom w:val="single" w:sz="8" w:space="0" w:color="C9D4E5"/>
          <w:right w:val="single" w:sz="8" w:space="0" w:color="C9D4E5"/>
          <w:insideH w:val="single" w:sz="8" w:space="0" w:color="C9D4E5"/>
          <w:insideV w:val="single" w:sz="8" w:space="0" w:color="C9D4E5"/>
        </w:tblBorders>
      </w:tblPr>
      <w:tblGrid>
        <w:gridCol w:w="2160"/>
        <w:gridCol w:w="7056"/>
      </w:tblGrid>
      <w:tr>
        <w:trPr>
          <w:cantSplit/>
        </w:trPr>
        <w:tc>
          <w:tcPr>
            <w:tcW w:type="dxa" w:w="4968"/>
            <w:tcMar>
              <w:top w:w="90" w:type="dxa"/>
              <w:start w:w="120" w:type="dxa"/>
              <w:bottom w:w="90" w:type="dxa"/>
              <w:end w:w="120" w:type="dxa"/>
            </w:tcMar>
            <w:vAlign w:val="center"/>
            <w:shd w:fill="EEF3F8"/>
          </w:tcPr>
          <w:p>
            <w:pPr>
              <w:spacing w:before="0" w:after="0" w:line="264" w:lineRule="auto"/>
              <w:jc w:val="left"/>
            </w:pPr>
            <w:r>
              <w:rPr>
                <w:b/>
                <w:color w:val="1F3A5F"/>
              </w:rPr>
              <w:t>Sources used</w:t>
            </w:r>
          </w:p>
        </w:tc>
        <w:tc>
          <w:tcPr>
            <w:tcW w:type="dxa" w:w="4968"/>
            <w:tcMar>
              <w:top w:w="90" w:type="dxa"/>
              <w:start w:w="120" w:type="dxa"/>
              <w:bottom w:w="90" w:type="dxa"/>
              <w:end w:w="120" w:type="dxa"/>
            </w:tcMar>
            <w:vAlign w:val="center"/>
            <w:shd w:fill="F9FBFD"/>
          </w:tcPr>
          <w:p>
            <w:pPr>
              <w:spacing w:before="0" w:after="0" w:line="264" w:lineRule="auto"/>
              <w:jc w:val="left"/>
            </w:pPr>
            <w:r>
              <w:t>NICE CG150 (updated June 2025); 2023 VA/DoD Headache CPG (published 2024 in Annals); European EFNS TTH guideline; ICHD-3 diagnostic criteria; recent review evidence used to contextualise areas with limited newer formal guidance.</w:t>
            </w:r>
          </w:p>
        </w:tc>
      </w:tr>
      <w:tr>
        <w:trPr>
          <w:cantSplit/>
        </w:trPr>
        <w:tc>
          <w:tcPr>
            <w:tcW w:type="dxa" w:w="4968"/>
            <w:tcMar>
              <w:top w:w="90" w:type="dxa"/>
              <w:start w:w="120" w:type="dxa"/>
              <w:bottom w:w="90" w:type="dxa"/>
              <w:end w:w="120" w:type="dxa"/>
            </w:tcMar>
            <w:vAlign w:val="center"/>
            <w:shd w:fill="EEF3F8"/>
          </w:tcPr>
          <w:p>
            <w:pPr>
              <w:spacing w:before="0" w:after="0" w:line="264" w:lineRule="auto"/>
              <w:jc w:val="left"/>
            </w:pPr>
            <w:r>
              <w:rPr>
                <w:b/>
                <w:color w:val="1F3A5F"/>
              </w:rPr>
              <w:t>Purpose</w:t>
            </w:r>
          </w:p>
        </w:tc>
        <w:tc>
          <w:tcPr>
            <w:tcW w:type="dxa" w:w="4968"/>
            <w:tcMar>
              <w:top w:w="90" w:type="dxa"/>
              <w:start w:w="120" w:type="dxa"/>
              <w:bottom w:w="90" w:type="dxa"/>
              <w:end w:w="120" w:type="dxa"/>
            </w:tcMar>
            <w:vAlign w:val="center"/>
            <w:shd w:fill="F9FBFD"/>
          </w:tcPr>
          <w:p>
            <w:pPr>
              <w:spacing w:before="0" w:after="0" w:line="264" w:lineRule="auto"/>
              <w:jc w:val="left"/>
            </w:pPr>
            <w:r>
              <w:t>Quick-reference clinician document that integrates guideline recommendations with practical bedside decision-making.</w:t>
            </w:r>
          </w:p>
        </w:tc>
      </w:tr>
    </w:tbl>
    <w:p/>
    <w:p>
      <w:pPr>
        <w:pStyle w:val="Heading1"/>
        <w:keepNext/>
      </w:pPr>
      <w:r>
        <w:t>At-a-glance recommendations</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4464"/>
        <w:gridCol w:w="4464"/>
      </w:tblGrid>
      <w:tr>
        <w:trPr>
          <w:tblHeader w:val="true"/>
        </w:trPr>
        <w:tc>
          <w:tcPr>
            <w:tcW w:type="dxa" w:w="4968"/>
            <w:shd w:fill="DCE8F5"/>
            <w:tcMar>
              <w:top w:w="90" w:type="dxa"/>
              <w:start w:w="120" w:type="dxa"/>
              <w:bottom w:w="90" w:type="dxa"/>
              <w:end w:w="120" w:type="dxa"/>
            </w:tcMar>
            <w:vAlign w:val="center"/>
          </w:tcPr>
          <w:p>
            <w:r>
              <w:rPr>
                <w:b/>
                <w:color w:val="1F3A5F"/>
              </w:rPr>
              <w:t>Core diagnosis</w:t>
            </w:r>
          </w:p>
        </w:tc>
        <w:tc>
          <w:tcPr>
            <w:tcW w:type="dxa" w:w="4968"/>
            <w:shd w:fill="DCE8F5"/>
            <w:tcMar>
              <w:top w:w="90" w:type="dxa"/>
              <w:start w:w="120" w:type="dxa"/>
              <w:bottom w:w="90" w:type="dxa"/>
              <w:end w:w="120" w:type="dxa"/>
            </w:tcMar>
            <w:vAlign w:val="center"/>
          </w:tcPr>
          <w:p>
            <w:r>
              <w:rPr>
                <w:b/>
                <w:color w:val="1F3A5F"/>
              </w:rPr>
              <w:t>Core management</w:t>
            </w:r>
          </w:p>
        </w:tc>
      </w:tr>
      <w:tr>
        <w:trPr>
          <w:cantSplit/>
        </w:trPr>
        <w:tc>
          <w:tcPr>
            <w:tcW w:type="dxa" w:w="4464"/>
            <w:tcMar>
              <w:top w:w="90" w:type="dxa"/>
              <w:start w:w="120" w:type="dxa"/>
              <w:bottom w:w="90" w:type="dxa"/>
              <w:end w:w="120" w:type="dxa"/>
            </w:tcMar>
            <w:vAlign w:val="center"/>
            <w:shd w:fill="FFFFFF"/>
          </w:tcPr>
          <w:p>
            <w:pPr>
              <w:spacing w:before="0" w:after="0" w:line="269" w:lineRule="auto"/>
            </w:pPr>
            <w:r>
              <w:t>Bilateral, pressing/tightening, mild–moderate headache; not aggravated by routine activity; no nausea/vomiting; at most one of photophobia or phonophobia.</w:t>
            </w:r>
          </w:p>
        </w:tc>
        <w:tc>
          <w:tcPr>
            <w:tcW w:type="dxa" w:w="4464"/>
            <w:tcMar>
              <w:top w:w="90" w:type="dxa"/>
              <w:start w:w="120" w:type="dxa"/>
              <w:bottom w:w="90" w:type="dxa"/>
              <w:end w:w="120" w:type="dxa"/>
            </w:tcMar>
            <w:vAlign w:val="center"/>
            <w:shd w:fill="FFFFFF"/>
          </w:tcPr>
          <w:p>
            <w:pPr>
              <w:spacing w:before="0" w:after="0" w:line="269" w:lineRule="auto"/>
            </w:pPr>
            <w:r>
              <w:t>Acute first line: ibuprofen, aspirin, or paracetamol/acetaminophen; avoid opioids routinely.</w:t>
            </w:r>
          </w:p>
        </w:tc>
      </w:tr>
      <w:tr>
        <w:trPr>
          <w:cantSplit/>
        </w:trPr>
        <w:tc>
          <w:tcPr>
            <w:tcW w:type="dxa" w:w="4464"/>
            <w:tcMar>
              <w:top w:w="90" w:type="dxa"/>
              <w:start w:w="120" w:type="dxa"/>
              <w:bottom w:w="90" w:type="dxa"/>
              <w:end w:w="120" w:type="dxa"/>
            </w:tcMar>
            <w:vAlign w:val="center"/>
            <w:shd w:fill="FFFFFF"/>
          </w:tcPr>
          <w:p>
            <w:pPr>
              <w:spacing w:before="0" w:after="0" w:line="269" w:lineRule="auto"/>
            </w:pPr>
            <w:r>
              <w:t>If any migrainous features are present in chronic daily headache, classify and manage as chronic migraine rather than chronic TTH.</w:t>
            </w:r>
          </w:p>
        </w:tc>
        <w:tc>
          <w:tcPr>
            <w:tcW w:type="dxa" w:w="4464"/>
            <w:tcMar>
              <w:top w:w="90" w:type="dxa"/>
              <w:start w:w="120" w:type="dxa"/>
              <w:bottom w:w="90" w:type="dxa"/>
              <w:end w:w="120" w:type="dxa"/>
            </w:tcMar>
            <w:vAlign w:val="center"/>
            <w:shd w:fill="FFFFFF"/>
          </w:tcPr>
          <w:p>
            <w:pPr>
              <w:spacing w:before="0" w:after="0" w:line="269" w:lineRule="auto"/>
            </w:pPr>
            <w:r>
              <w:t>Prevention is indicated when attacks are frequent, prolonged, disabling, or acute therapy is overused/insufficient.</w:t>
            </w:r>
          </w:p>
        </w:tc>
      </w:tr>
      <w:tr>
        <w:trPr>
          <w:cantSplit/>
        </w:trPr>
        <w:tc>
          <w:tcPr>
            <w:tcW w:type="dxa" w:w="4464"/>
            <w:tcMar>
              <w:top w:w="90" w:type="dxa"/>
              <w:start w:w="120" w:type="dxa"/>
              <w:bottom w:w="90" w:type="dxa"/>
              <w:end w:w="120" w:type="dxa"/>
            </w:tcMar>
            <w:vAlign w:val="center"/>
            <w:shd w:fill="FFFFFF"/>
          </w:tcPr>
          <w:p>
            <w:pPr>
              <w:spacing w:before="0" w:after="0" w:line="269" w:lineRule="auto"/>
            </w:pPr>
            <w:r>
              <w:t>Do not image solely for reassurance when the clinical picture is typical and examination is normal.</w:t>
            </w:r>
          </w:p>
        </w:tc>
        <w:tc>
          <w:tcPr>
            <w:tcW w:type="dxa" w:w="4464"/>
            <w:tcMar>
              <w:top w:w="90" w:type="dxa"/>
              <w:start w:w="120" w:type="dxa"/>
              <w:bottom w:w="90" w:type="dxa"/>
              <w:end w:w="120" w:type="dxa"/>
            </w:tcMar>
            <w:vAlign w:val="center"/>
            <w:shd w:fill="FFFFFF"/>
          </w:tcPr>
          <w:p>
            <w:pPr>
              <w:spacing w:before="0" w:after="0" w:line="269" w:lineRule="auto"/>
            </w:pPr>
            <w:r>
              <w:t>For chronic TTH, amitriptyline is the best-supported pharmacologic preventive option; behavioural therapy and exercise/physical therapy are reasonable non-drug options.</w:t>
            </w:r>
          </w:p>
        </w:tc>
      </w:tr>
    </w:tbl>
    <w:p>
      <w:pPr>
        <w:pStyle w:val="Heading1"/>
        <w:keepNext/>
      </w:pPr>
      <w:r>
        <w:t>1. Scope and positioning</w:t>
      </w:r>
    </w:p>
    <w:p>
      <w:r>
        <w:t>This document is a practical, clinician-facing summary of tension-type headache (TTH) in adults. It synthesises the current NICE headache guideline for people aged 12 years and over, the latest U.S. VA/DoD headache guideline, the longstanding European EFNS guidance, ICHD-3 diagnostic criteria, and recent evidence reviews. It is intended to support day-to-day assessment and treatment rather than replace formal guideline documents.</w:t>
      </w:r>
    </w:p>
    <w:p>
      <w:pPr>
        <w:pStyle w:val="Heading1"/>
        <w:keepNext/>
      </w:pPr>
      <w:r>
        <w:t>2. Definition and classification</w:t>
      </w:r>
    </w:p>
    <w:p>
      <w:r>
        <w:t>TTH is a primary headache disorder characterised by bilateral, pressing or tightening head pain of mild to moderate intensity, typically without nausea or vomiting and without clear aggravation by routine physical activity. ICHD-3 classifies TTH into infrequent episodic, frequent episodic, and chronic forms.</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2736"/>
        <w:gridCol w:w="2016"/>
        <w:gridCol w:w="4320"/>
      </w:tblGrid>
      <w:tr>
        <w:trPr>
          <w:tblHeader w:val="true"/>
        </w:trPr>
        <w:tc>
          <w:tcPr>
            <w:tcW w:type="dxa" w:w="3312"/>
            <w:shd w:fill="DCE8F5"/>
            <w:tcMar>
              <w:top w:w="90" w:type="dxa"/>
              <w:start w:w="120" w:type="dxa"/>
              <w:bottom w:w="90" w:type="dxa"/>
              <w:end w:w="120" w:type="dxa"/>
            </w:tcMar>
          </w:tcPr>
          <w:p>
            <w:r>
              <w:rPr>
                <w:b/>
                <w:color w:val="1F3A5F"/>
              </w:rPr>
              <w:t>Subtype</w:t>
            </w:r>
          </w:p>
        </w:tc>
        <w:tc>
          <w:tcPr>
            <w:tcW w:type="dxa" w:w="3312"/>
            <w:shd w:fill="DCE8F5"/>
            <w:tcMar>
              <w:top w:w="90" w:type="dxa"/>
              <w:start w:w="120" w:type="dxa"/>
              <w:bottom w:w="90" w:type="dxa"/>
              <w:end w:w="120" w:type="dxa"/>
            </w:tcMar>
          </w:tcPr>
          <w:p>
            <w:r>
              <w:rPr>
                <w:b/>
                <w:color w:val="1F3A5F"/>
              </w:rPr>
              <w:t>Frequency</w:t>
            </w:r>
          </w:p>
        </w:tc>
        <w:tc>
          <w:tcPr>
            <w:tcW w:type="dxa" w:w="3312"/>
            <w:shd w:fill="DCE8F5"/>
            <w:tcMar>
              <w:top w:w="90" w:type="dxa"/>
              <w:start w:w="120" w:type="dxa"/>
              <w:bottom w:w="90" w:type="dxa"/>
              <w:end w:w="120" w:type="dxa"/>
            </w:tcMar>
          </w:tcPr>
          <w:p>
            <w:r>
              <w:rPr>
                <w:b/>
                <w:color w:val="1F3A5F"/>
              </w:rPr>
              <w:t>Key note</w:t>
            </w:r>
          </w:p>
        </w:tc>
      </w:tr>
      <w:tr>
        <w:trPr>
          <w:cantSplit/>
          <w:cantSplit/>
          <w:cantSplit/>
        </w:trPr>
        <w:tc>
          <w:tcPr>
            <w:tcW w:type="dxa" w:w="2736"/>
            <w:tcMar>
              <w:top w:w="90" w:type="dxa"/>
              <w:start w:w="120" w:type="dxa"/>
              <w:bottom w:w="90" w:type="dxa"/>
              <w:end w:w="120" w:type="dxa"/>
            </w:tcMar>
            <w:vAlign w:val="center"/>
          </w:tcPr>
          <w:p>
            <w:pPr>
              <w:spacing w:before="0" w:after="0" w:line="269" w:lineRule="auto"/>
            </w:pPr>
            <w:r>
              <w:t>Infrequent episodic TTH</w:t>
            </w:r>
          </w:p>
        </w:tc>
        <w:tc>
          <w:tcPr>
            <w:tcW w:type="dxa" w:w="2016"/>
            <w:tcMar>
              <w:top w:w="90" w:type="dxa"/>
              <w:start w:w="120" w:type="dxa"/>
              <w:bottom w:w="90" w:type="dxa"/>
              <w:end w:w="120" w:type="dxa"/>
            </w:tcMar>
            <w:vAlign w:val="center"/>
          </w:tcPr>
          <w:p>
            <w:pPr>
              <w:spacing w:before="0" w:after="0" w:line="269" w:lineRule="auto"/>
            </w:pPr>
            <w:r>
              <w:t>&lt;1 day/month on average</w:t>
            </w:r>
          </w:p>
        </w:tc>
        <w:tc>
          <w:tcPr>
            <w:tcW w:type="dxa" w:w="4320"/>
            <w:tcMar>
              <w:top w:w="90" w:type="dxa"/>
              <w:start w:w="120" w:type="dxa"/>
              <w:bottom w:w="90" w:type="dxa"/>
              <w:end w:w="120" w:type="dxa"/>
            </w:tcMar>
            <w:vAlign w:val="center"/>
          </w:tcPr>
          <w:p>
            <w:pPr>
              <w:spacing w:before="0" w:after="0" w:line="269" w:lineRule="auto"/>
            </w:pPr>
            <w:r>
              <w:t>Usually low disability; often managed with acute measures only.</w:t>
            </w:r>
          </w:p>
        </w:tc>
      </w:tr>
      <w:tr>
        <w:trPr>
          <w:cantSplit/>
          <w:cantSplit/>
          <w:cantSplit/>
        </w:trPr>
        <w:tc>
          <w:tcPr>
            <w:tcW w:type="dxa" w:w="2736"/>
            <w:tcMar>
              <w:top w:w="90" w:type="dxa"/>
              <w:start w:w="120" w:type="dxa"/>
              <w:bottom w:w="90" w:type="dxa"/>
              <w:end w:w="120" w:type="dxa"/>
            </w:tcMar>
            <w:vAlign w:val="center"/>
          </w:tcPr>
          <w:p>
            <w:pPr>
              <w:spacing w:before="0" w:after="0" w:line="269" w:lineRule="auto"/>
            </w:pPr>
            <w:r>
              <w:t>Frequent episodic TTH</w:t>
            </w:r>
          </w:p>
        </w:tc>
        <w:tc>
          <w:tcPr>
            <w:tcW w:type="dxa" w:w="2016"/>
            <w:tcMar>
              <w:top w:w="90" w:type="dxa"/>
              <w:start w:w="120" w:type="dxa"/>
              <w:bottom w:w="90" w:type="dxa"/>
              <w:end w:w="120" w:type="dxa"/>
            </w:tcMar>
            <w:vAlign w:val="center"/>
          </w:tcPr>
          <w:p>
            <w:pPr>
              <w:spacing w:before="0" w:after="0" w:line="269" w:lineRule="auto"/>
            </w:pPr>
            <w:r>
              <w:t>1–14 days/month on average for &gt;3 months</w:t>
            </w:r>
          </w:p>
        </w:tc>
        <w:tc>
          <w:tcPr>
            <w:tcW w:type="dxa" w:w="4320"/>
            <w:tcMar>
              <w:top w:w="90" w:type="dxa"/>
              <w:start w:w="120" w:type="dxa"/>
              <w:bottom w:w="90" w:type="dxa"/>
              <w:end w:w="120" w:type="dxa"/>
            </w:tcMar>
            <w:vAlign w:val="center"/>
          </w:tcPr>
          <w:p>
            <w:pPr>
              <w:spacing w:before="0" w:after="0" w:line="269" w:lineRule="auto"/>
            </w:pPr>
            <w:r>
              <w:t>Common threshold where preventive strategies become useful.</w:t>
            </w:r>
          </w:p>
        </w:tc>
      </w:tr>
      <w:tr>
        <w:trPr>
          <w:cantSplit/>
          <w:cantSplit/>
          <w:cantSplit/>
        </w:trPr>
        <w:tc>
          <w:tcPr>
            <w:tcW w:type="dxa" w:w="2736"/>
            <w:tcMar>
              <w:top w:w="90" w:type="dxa"/>
              <w:start w:w="120" w:type="dxa"/>
              <w:bottom w:w="90" w:type="dxa"/>
              <w:end w:w="120" w:type="dxa"/>
            </w:tcMar>
            <w:vAlign w:val="center"/>
          </w:tcPr>
          <w:p>
            <w:pPr>
              <w:spacing w:before="0" w:after="0" w:line="269" w:lineRule="auto"/>
            </w:pPr>
            <w:r>
              <w:t>Chronic TTH</w:t>
            </w:r>
          </w:p>
        </w:tc>
        <w:tc>
          <w:tcPr>
            <w:tcW w:type="dxa" w:w="2016"/>
            <w:tcMar>
              <w:top w:w="90" w:type="dxa"/>
              <w:start w:w="120" w:type="dxa"/>
              <w:bottom w:w="90" w:type="dxa"/>
              <w:end w:w="120" w:type="dxa"/>
            </w:tcMar>
            <w:vAlign w:val="center"/>
          </w:tcPr>
          <w:p>
            <w:pPr>
              <w:spacing w:before="0" w:after="0" w:line="269" w:lineRule="auto"/>
            </w:pPr>
            <w:r>
              <w:t>≥15 days/month for &gt;3 months</w:t>
            </w:r>
          </w:p>
        </w:tc>
        <w:tc>
          <w:tcPr>
            <w:tcW w:type="dxa" w:w="4320"/>
            <w:tcMar>
              <w:top w:w="90" w:type="dxa"/>
              <w:start w:w="120" w:type="dxa"/>
              <w:bottom w:w="90" w:type="dxa"/>
              <w:end w:w="120" w:type="dxa"/>
            </w:tcMar>
            <w:vAlign w:val="center"/>
          </w:tcPr>
          <w:p>
            <w:pPr>
              <w:spacing w:before="0" w:after="0" w:line="269" w:lineRule="auto"/>
            </w:pPr>
            <w:r>
              <w:t>High disability; assess carefully for migraine overlap and medication overuse.</w:t>
            </w:r>
          </w:p>
        </w:tc>
      </w:tr>
    </w:tbl>
    <w:p>
      <w:pPr>
        <w:pStyle w:val="Heading1"/>
        <w:keepNext/>
      </w:pPr>
      <w:r>
        <w:t>3. Epidemiology and pathophysiology</w:t>
      </w:r>
    </w:p>
    <w:p>
      <w:r>
        <w:t>TTH is the most prevalent primary headache disorder. Most cases are episodic; chronic TTH is much less common but carries disproportionate disability. Current understanding supports a mixed peripheral–central model: pericranial myofascial tenderness and trigger-point activity appear more relevant in episodic disease, while central sensitisation and altered pain modulation become more important in chronic TTH.</w:t>
      </w:r>
    </w:p>
    <w:p>
      <w:pPr>
        <w:spacing w:before="0" w:after="40" w:line="269" w:lineRule="auto"/>
        <w:ind w:left="0" w:hanging="230"/>
      </w:pPr>
      <w:r>
        <w:rPr>
          <w:b/>
        </w:rPr>
        <w:t xml:space="preserve">• </w:t>
      </w:r>
      <w:r>
        <w:t>Pericranial muscle tenderness is the most consistent examination abnormality.</w:t>
      </w:r>
    </w:p>
    <w:p>
      <w:pPr>
        <w:spacing w:before="0" w:after="40" w:line="269" w:lineRule="auto"/>
        <w:ind w:left="0" w:hanging="230"/>
      </w:pPr>
      <w:r>
        <w:rPr>
          <w:b/>
        </w:rPr>
        <w:t xml:space="preserve">• </w:t>
      </w:r>
      <w:r>
        <w:t>Stress, poor sleep, fatigue, dehydration, and musculoskeletal strain are commonly reported triggers or exacerbating factors.</w:t>
      </w:r>
    </w:p>
    <w:p>
      <w:pPr>
        <w:spacing w:before="0" w:after="40" w:line="269" w:lineRule="auto"/>
        <w:ind w:left="0" w:hanging="230"/>
      </w:pPr>
      <w:r>
        <w:rPr>
          <w:b/>
        </w:rPr>
        <w:t xml:space="preserve">• </w:t>
      </w:r>
      <w:r>
        <w:t>Migraine and TTH frequently coexist; this is one of the main diagnostic challenges in practice.</w:t>
      </w:r>
    </w:p>
    <w:p>
      <w:pPr>
        <w:pStyle w:val="Heading1"/>
        <w:keepNext/>
      </w:pPr>
      <w:r>
        <w:t>4. Diagnostic approach</w:t>
      </w:r>
    </w:p>
    <w:p>
      <w:pPr>
        <w:pStyle w:val="Heading2"/>
        <w:keepNext/>
      </w:pPr>
      <w:r>
        <w:t>4.1 Typical clinical features</w:t>
      </w:r>
    </w:p>
    <w:p>
      <w:pPr>
        <w:spacing w:before="0" w:after="40" w:line="269" w:lineRule="auto"/>
        <w:ind w:left="0" w:hanging="230"/>
      </w:pPr>
      <w:r>
        <w:rPr>
          <w:b/>
        </w:rPr>
        <w:t xml:space="preserve">• </w:t>
      </w:r>
      <w:r>
        <w:t>Bilateral headache.</w:t>
      </w:r>
    </w:p>
    <w:p>
      <w:pPr>
        <w:spacing w:before="0" w:after="40" w:line="269" w:lineRule="auto"/>
        <w:ind w:left="0" w:hanging="230"/>
      </w:pPr>
      <w:r>
        <w:rPr>
          <w:b/>
        </w:rPr>
        <w:t xml:space="preserve">• </w:t>
      </w:r>
      <w:r>
        <w:t>Pressing, tightening, or band-like quality; usually non-pulsatile.</w:t>
      </w:r>
    </w:p>
    <w:p>
      <w:pPr>
        <w:spacing w:before="0" w:after="40" w:line="269" w:lineRule="auto"/>
        <w:ind w:left="0" w:hanging="230"/>
      </w:pPr>
      <w:r>
        <w:rPr>
          <w:b/>
        </w:rPr>
        <w:t xml:space="preserve">• </w:t>
      </w:r>
      <w:r>
        <w:t>Mild to moderate intensity.</w:t>
      </w:r>
    </w:p>
    <w:p>
      <w:pPr>
        <w:spacing w:before="0" w:after="40" w:line="269" w:lineRule="auto"/>
        <w:ind w:left="0" w:hanging="230"/>
      </w:pPr>
      <w:r>
        <w:rPr>
          <w:b/>
        </w:rPr>
        <w:t xml:space="preserve">• </w:t>
      </w:r>
      <w:r>
        <w:t>Not worsened by walking, stairs, or other routine activity.</w:t>
      </w:r>
    </w:p>
    <w:p>
      <w:pPr>
        <w:spacing w:before="0" w:after="40" w:line="269" w:lineRule="auto"/>
        <w:ind w:left="0" w:hanging="230"/>
      </w:pPr>
      <w:r>
        <w:rPr>
          <w:b/>
        </w:rPr>
        <w:t xml:space="preserve">• </w:t>
      </w:r>
      <w:r>
        <w:t>No nausea or vomiting; at most one of photophobia or phonophobia.</w:t>
      </w:r>
    </w:p>
    <w:p>
      <w:pPr>
        <w:spacing w:before="0" w:after="40" w:line="269" w:lineRule="auto"/>
        <w:ind w:left="0" w:hanging="230"/>
      </w:pPr>
      <w:r>
        <w:rPr>
          <w:b/>
        </w:rPr>
        <w:t xml:space="preserve">• </w:t>
      </w:r>
      <w:r>
        <w:t>Pericranial tenderness may be present on palpation of the frontal, temporal, masseter, sternocleidomastoid, splenius, or trapezius muscles.</w:t>
      </w:r>
    </w:p>
    <w:p>
      <w:pPr>
        <w:pStyle w:val="Heading2"/>
        <w:keepNext/>
      </w:pPr>
      <w:r>
        <w:t>4.2 ICHD-3 diagnostic criteria in practice</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3168"/>
        <w:gridCol w:w="5904"/>
      </w:tblGrid>
      <w:tr>
        <w:trPr>
          <w:tblHeader w:val="true"/>
        </w:trPr>
        <w:tc>
          <w:tcPr>
            <w:tcW w:type="dxa" w:w="4968"/>
            <w:shd w:fill="DCE8F5"/>
            <w:tcMar>
              <w:top w:w="90" w:type="dxa"/>
              <w:start w:w="120" w:type="dxa"/>
              <w:bottom w:w="90" w:type="dxa"/>
              <w:end w:w="120" w:type="dxa"/>
            </w:tcMar>
          </w:tcPr>
          <w:p>
            <w:r>
              <w:rPr>
                <w:b/>
                <w:color w:val="1F3A5F"/>
              </w:rPr>
              <w:t>Criterion</w:t>
            </w:r>
          </w:p>
        </w:tc>
        <w:tc>
          <w:tcPr>
            <w:tcW w:type="dxa" w:w="4968"/>
            <w:shd w:fill="DCE8F5"/>
            <w:tcMar>
              <w:top w:w="90" w:type="dxa"/>
              <w:start w:w="120" w:type="dxa"/>
              <w:bottom w:w="90" w:type="dxa"/>
              <w:end w:w="120" w:type="dxa"/>
            </w:tcMar>
          </w:tcPr>
          <w:p>
            <w:r>
              <w:rPr>
                <w:b/>
                <w:color w:val="1F3A5F"/>
              </w:rPr>
              <w:t>Practical point</w:t>
            </w:r>
          </w:p>
        </w:tc>
      </w:tr>
      <w:tr>
        <w:trPr>
          <w:cantSplit/>
        </w:trPr>
        <w:tc>
          <w:tcPr>
            <w:tcW w:type="dxa" w:w="3168"/>
            <w:tcMar>
              <w:top w:w="90" w:type="dxa"/>
              <w:start w:w="120" w:type="dxa"/>
              <w:bottom w:w="90" w:type="dxa"/>
              <w:end w:w="120" w:type="dxa"/>
            </w:tcMar>
            <w:vAlign w:val="center"/>
          </w:tcPr>
          <w:p>
            <w:pPr>
              <w:spacing w:before="0" w:after="0" w:line="269" w:lineRule="auto"/>
            </w:pPr>
            <w:r>
              <w:t>Duration</w:t>
            </w:r>
          </w:p>
        </w:tc>
        <w:tc>
          <w:tcPr>
            <w:tcW w:type="dxa" w:w="5904"/>
            <w:tcMar>
              <w:top w:w="90" w:type="dxa"/>
              <w:start w:w="120" w:type="dxa"/>
              <w:bottom w:w="90" w:type="dxa"/>
              <w:end w:w="120" w:type="dxa"/>
            </w:tcMar>
            <w:vAlign w:val="center"/>
          </w:tcPr>
          <w:p>
            <w:pPr>
              <w:spacing w:before="0" w:after="0" w:line="269" w:lineRule="auto"/>
            </w:pPr>
            <w:r>
              <w:t>30 minutes to 7 days for episodic TTH; chronic TTH may last hours to days or be unremitting.</w:t>
            </w:r>
          </w:p>
        </w:tc>
      </w:tr>
      <w:tr>
        <w:trPr>
          <w:cantSplit/>
        </w:trPr>
        <w:tc>
          <w:tcPr>
            <w:tcW w:type="dxa" w:w="3168"/>
            <w:tcMar>
              <w:top w:w="90" w:type="dxa"/>
              <w:start w:w="120" w:type="dxa"/>
              <w:bottom w:w="90" w:type="dxa"/>
              <w:end w:w="120" w:type="dxa"/>
            </w:tcMar>
            <w:vAlign w:val="center"/>
          </w:tcPr>
          <w:p>
            <w:pPr>
              <w:spacing w:before="0" w:after="0" w:line="269" w:lineRule="auto"/>
            </w:pPr>
            <w:r>
              <w:t>Pain features</w:t>
            </w:r>
          </w:p>
        </w:tc>
        <w:tc>
          <w:tcPr>
            <w:tcW w:type="dxa" w:w="5904"/>
            <w:tcMar>
              <w:top w:w="90" w:type="dxa"/>
              <w:start w:w="120" w:type="dxa"/>
              <w:bottom w:w="90" w:type="dxa"/>
              <w:end w:w="120" w:type="dxa"/>
            </w:tcMar>
            <w:vAlign w:val="center"/>
          </w:tcPr>
          <w:p>
            <w:pPr>
              <w:spacing w:before="0" w:after="0" w:line="269" w:lineRule="auto"/>
            </w:pPr>
            <w:r>
              <w:t>At least 2 of: bilateral, pressing/tightening, mild/moderate intensity, not aggravated by routine activity.</w:t>
            </w:r>
          </w:p>
        </w:tc>
      </w:tr>
      <w:tr>
        <w:trPr>
          <w:cantSplit/>
        </w:trPr>
        <w:tc>
          <w:tcPr>
            <w:tcW w:type="dxa" w:w="3168"/>
            <w:tcMar>
              <w:top w:w="90" w:type="dxa"/>
              <w:start w:w="120" w:type="dxa"/>
              <w:bottom w:w="90" w:type="dxa"/>
              <w:end w:w="120" w:type="dxa"/>
            </w:tcMar>
            <w:vAlign w:val="center"/>
          </w:tcPr>
          <w:p>
            <w:pPr>
              <w:spacing w:before="0" w:after="0" w:line="269" w:lineRule="auto"/>
            </w:pPr>
            <w:r>
              <w:t>Associated features</w:t>
            </w:r>
          </w:p>
        </w:tc>
        <w:tc>
          <w:tcPr>
            <w:tcW w:type="dxa" w:w="5904"/>
            <w:tcMar>
              <w:top w:w="90" w:type="dxa"/>
              <w:start w:w="120" w:type="dxa"/>
              <w:bottom w:w="90" w:type="dxa"/>
              <w:end w:w="120" w:type="dxa"/>
            </w:tcMar>
            <w:vAlign w:val="center"/>
          </w:tcPr>
          <w:p>
            <w:pPr>
              <w:spacing w:before="0" w:after="0" w:line="269" w:lineRule="auto"/>
            </w:pPr>
            <w:r>
              <w:t>No nausea/vomiting; no more than one of photophobia or phonophobia; chronic TTH allows mild nausea only if photophobia/phonophobia are not both present.</w:t>
            </w:r>
          </w:p>
        </w:tc>
      </w:tr>
      <w:tr>
        <w:trPr>
          <w:cantSplit/>
        </w:trPr>
        <w:tc>
          <w:tcPr>
            <w:tcW w:type="dxa" w:w="3168"/>
            <w:tcMar>
              <w:top w:w="90" w:type="dxa"/>
              <w:start w:w="120" w:type="dxa"/>
              <w:bottom w:w="90" w:type="dxa"/>
              <w:end w:w="120" w:type="dxa"/>
            </w:tcMar>
            <w:vAlign w:val="center"/>
          </w:tcPr>
          <w:p>
            <w:pPr>
              <w:spacing w:before="0" w:after="0" w:line="269" w:lineRule="auto"/>
            </w:pPr>
            <w:r>
              <w:t>Exclusion</w:t>
            </w:r>
          </w:p>
        </w:tc>
        <w:tc>
          <w:tcPr>
            <w:tcW w:type="dxa" w:w="5904"/>
            <w:tcMar>
              <w:top w:w="90" w:type="dxa"/>
              <w:start w:w="120" w:type="dxa"/>
              <w:bottom w:w="90" w:type="dxa"/>
              <w:end w:w="120" w:type="dxa"/>
            </w:tcMar>
            <w:vAlign w:val="center"/>
          </w:tcPr>
          <w:p>
            <w:pPr>
              <w:spacing w:before="0" w:after="0" w:line="269" w:lineRule="auto"/>
            </w:pPr>
            <w:r>
              <w:t>Not better accounted for by another headache diagnosis or secondary cause.</w:t>
            </w:r>
          </w:p>
        </w:tc>
      </w:tr>
    </w:tbl>
    <w:p>
      <w:pPr>
        <w:pStyle w:val="Heading2"/>
        <w:keepNext/>
      </w:pPr>
      <w:r>
        <w:t>4.3 Distinguishing TTH from migraine</w:t>
      </w:r>
    </w:p>
    <w:p>
      <w:pPr>
        <w:spacing w:before="0" w:after="40" w:line="269" w:lineRule="auto"/>
        <w:ind w:left="0" w:hanging="230"/>
      </w:pPr>
      <w:r>
        <w:rPr>
          <w:b/>
        </w:rPr>
        <w:t xml:space="preserve">• </w:t>
      </w:r>
      <w:r>
        <w:t>If headache is disabling, unilateral, pulsatile, aggravated by activity, or associated with nausea, definite photophobia plus phonophobia, osmophobia, or aura, think migraine first.</w:t>
      </w:r>
    </w:p>
    <w:p>
      <w:pPr>
        <w:spacing w:before="0" w:after="40" w:line="269" w:lineRule="auto"/>
        <w:ind w:left="0" w:hanging="230"/>
      </w:pPr>
      <w:r>
        <w:rPr>
          <w:b/>
        </w:rPr>
        <w:t xml:space="preserve">• </w:t>
      </w:r>
      <w:r>
        <w:t>In chronic daily headache, any clear migraine features favour a diagnosis of chronic migraine over chronic TTH.</w:t>
      </w:r>
    </w:p>
    <w:p>
      <w:pPr>
        <w:spacing w:before="0" w:after="40" w:line="269" w:lineRule="auto"/>
        <w:ind w:left="0" w:hanging="230"/>
      </w:pPr>
      <w:r>
        <w:rPr>
          <w:b/>
        </w:rPr>
        <w:t xml:space="preserve">• </w:t>
      </w:r>
      <w:r>
        <w:t>Many 'tension headaches' seen in clinic are actually migraine, medication overuse headache, or mixed headache phenotypes.</w:t>
      </w:r>
    </w:p>
    <w:p>
      <w:pPr>
        <w:pStyle w:val="Heading2"/>
        <w:keepNext/>
      </w:pPr>
      <w:r>
        <w:t>4.4 When to investigate</w:t>
      </w:r>
    </w:p>
    <w:tbl>
      <w:tblPr>
        <w:tblW w:type="auto" w:w="0"/>
        <w:jc w:val="center"/>
        <w:tblLayout w:type="fixed"/>
        <w:tblLook w:firstColumn="1" w:firstRow="1" w:lastColumn="0" w:lastRow="0" w:noHBand="0" w:noVBand="1" w:val="04A0"/>
        <w:tblBorders>
          <w:top w:val="single" w:sz="8" w:space="0" w:color="E5C6BC"/>
          <w:left w:val="single" w:sz="8" w:space="0" w:color="E5C6BC"/>
          <w:bottom w:val="single" w:sz="8" w:space="0" w:color="E5C6BC"/>
          <w:right w:val="single" w:sz="8" w:space="0" w:color="E5C6BC"/>
          <w:insideH w:val="single" w:sz="8" w:space="0" w:color="E5C6BC"/>
          <w:insideV w:val="single" w:sz="8" w:space="0" w:color="E5C6BC"/>
        </w:tblBorders>
      </w:tblPr>
      <w:tblGrid>
        <w:gridCol w:w="2880"/>
        <w:gridCol w:w="6192"/>
      </w:tblGrid>
      <w:tr>
        <w:trPr>
          <w:tblHeader w:val="true"/>
        </w:trPr>
        <w:tc>
          <w:tcPr>
            <w:tcW w:type="dxa" w:w="4968"/>
            <w:shd w:fill="F5E4DE"/>
            <w:tcMar>
              <w:top w:w="90" w:type="dxa"/>
              <w:start w:w="120" w:type="dxa"/>
              <w:bottom w:w="90" w:type="dxa"/>
              <w:end w:w="120" w:type="dxa"/>
            </w:tcMar>
          </w:tcPr>
          <w:p>
            <w:r>
              <w:rPr>
                <w:b/>
                <w:color w:val="7B2E16"/>
              </w:rPr>
              <w:t>Investigate / refer if…</w:t>
            </w:r>
          </w:p>
        </w:tc>
        <w:tc>
          <w:tcPr>
            <w:tcW w:type="dxa" w:w="4968"/>
            <w:shd w:fill="F5E4DE"/>
            <w:tcMar>
              <w:top w:w="90" w:type="dxa"/>
              <w:start w:w="120" w:type="dxa"/>
              <w:bottom w:w="90" w:type="dxa"/>
              <w:end w:w="120" w:type="dxa"/>
            </w:tcMar>
          </w:tcPr>
          <w:p>
            <w:r>
              <w:rPr>
                <w:b/>
                <w:color w:val="7B2E16"/>
              </w:rPr>
              <w:t>Examples</w:t>
            </w:r>
          </w:p>
        </w:tc>
      </w:tr>
      <w:tr>
        <w:trPr>
          <w:cantSplit/>
        </w:trPr>
        <w:tc>
          <w:tcPr>
            <w:tcW w:type="dxa" w:w="2880"/>
            <w:tcMar>
              <w:top w:w="90" w:type="dxa"/>
              <w:start w:w="120" w:type="dxa"/>
              <w:bottom w:w="90" w:type="dxa"/>
              <w:end w:w="120" w:type="dxa"/>
            </w:tcMar>
            <w:vAlign w:val="center"/>
          </w:tcPr>
          <w:p>
            <w:pPr>
              <w:spacing w:before="0" w:after="0" w:line="269" w:lineRule="auto"/>
            </w:pPr>
            <w:r>
              <w:t>Atypical headache phenotype</w:t>
            </w:r>
          </w:p>
        </w:tc>
        <w:tc>
          <w:tcPr>
            <w:tcW w:type="dxa" w:w="6192"/>
            <w:tcMar>
              <w:top w:w="90" w:type="dxa"/>
              <w:start w:w="120" w:type="dxa"/>
              <w:bottom w:w="90" w:type="dxa"/>
              <w:end w:w="120" w:type="dxa"/>
            </w:tcMar>
            <w:vAlign w:val="center"/>
          </w:tcPr>
          <w:p>
            <w:pPr>
              <w:spacing w:before="0" w:after="0" w:line="269" w:lineRule="auto"/>
            </w:pPr>
            <w:r>
              <w:t>Abrupt onset, focal/unilateral pattern, progressive course, severe intensity, positional worsening, exertional precipitation.</w:t>
            </w:r>
          </w:p>
        </w:tc>
      </w:tr>
      <w:tr>
        <w:trPr>
          <w:cantSplit/>
        </w:trPr>
        <w:tc>
          <w:tcPr>
            <w:tcW w:type="dxa" w:w="2880"/>
            <w:tcMar>
              <w:top w:w="90" w:type="dxa"/>
              <w:start w:w="120" w:type="dxa"/>
              <w:bottom w:w="90" w:type="dxa"/>
              <w:end w:w="120" w:type="dxa"/>
            </w:tcMar>
            <w:vAlign w:val="center"/>
          </w:tcPr>
          <w:p>
            <w:pPr>
              <w:spacing w:before="0" w:after="0" w:line="269" w:lineRule="auto"/>
            </w:pPr>
            <w:r>
              <w:t>Associated neurologic/systemic features</w:t>
            </w:r>
          </w:p>
        </w:tc>
        <w:tc>
          <w:tcPr>
            <w:tcW w:type="dxa" w:w="6192"/>
            <w:tcMar>
              <w:top w:w="90" w:type="dxa"/>
              <w:start w:w="120" w:type="dxa"/>
              <w:bottom w:w="90" w:type="dxa"/>
              <w:end w:w="120" w:type="dxa"/>
            </w:tcMar>
            <w:vAlign w:val="center"/>
          </w:tcPr>
          <w:p>
            <w:pPr>
              <w:spacing w:before="0" w:after="0" w:line="269" w:lineRule="auto"/>
            </w:pPr>
            <w:r>
              <w:t>Visual loss, focal weakness, fever, meningism, reduced consciousness, cancer history, immunosuppression.</w:t>
            </w:r>
          </w:p>
        </w:tc>
      </w:tr>
      <w:tr>
        <w:trPr>
          <w:cantSplit/>
        </w:trPr>
        <w:tc>
          <w:tcPr>
            <w:tcW w:type="dxa" w:w="2880"/>
            <w:tcMar>
              <w:top w:w="90" w:type="dxa"/>
              <w:start w:w="120" w:type="dxa"/>
              <w:bottom w:w="90" w:type="dxa"/>
              <w:end w:w="120" w:type="dxa"/>
            </w:tcMar>
            <w:vAlign w:val="center"/>
          </w:tcPr>
          <w:p>
            <w:pPr>
              <w:spacing w:before="0" w:after="0" w:line="269" w:lineRule="auto"/>
            </w:pPr>
            <w:r>
              <w:t>Risk-context features</w:t>
            </w:r>
          </w:p>
        </w:tc>
        <w:tc>
          <w:tcPr>
            <w:tcW w:type="dxa" w:w="6192"/>
            <w:tcMar>
              <w:top w:w="90" w:type="dxa"/>
              <w:start w:w="120" w:type="dxa"/>
              <w:bottom w:w="90" w:type="dxa"/>
              <w:end w:w="120" w:type="dxa"/>
            </w:tcMar>
            <w:vAlign w:val="center"/>
          </w:tcPr>
          <w:p>
            <w:pPr>
              <w:spacing w:before="0" w:after="0" w:line="269" w:lineRule="auto"/>
            </w:pPr>
            <w:r>
              <w:t>Age &gt;50 years at new onset, anticoagulation, pregnancy/postpartum, significant trauma.</w:t>
            </w:r>
          </w:p>
        </w:tc>
      </w:tr>
    </w:tbl>
    <w:p>
      <w:r>
        <w:t>In a typical presentation with normal examination, neuroimaging is not required. NICE specifically advises against neuroimaging solely for reassurance.</w:t>
      </w:r>
    </w:p>
    <w:p>
      <w:pPr>
        <w:pStyle w:val="Heading1"/>
        <w:keepNext/>
      </w:pPr>
      <w:r>
        <w:t>5. Acute treatment</w:t>
      </w:r>
    </w:p>
    <w:p>
      <w:r>
        <w:t>Acute treatment is aimed at prompt and sustained pain relief while minimising medication-overuse risk. For most patients with episodic TTH, treatment is self-directed with simple analgesics.</w:t>
      </w:r>
    </w:p>
    <w:p>
      <w:pPr>
        <w:pStyle w:val="Heading2"/>
        <w:keepNext/>
      </w:pPr>
      <w:r>
        <w:t>5.1 First-line acute options</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2160"/>
        <w:gridCol w:w="2304"/>
        <w:gridCol w:w="4608"/>
      </w:tblGrid>
      <w:tr>
        <w:trPr>
          <w:tblHeader w:val="true"/>
        </w:trPr>
        <w:tc>
          <w:tcPr>
            <w:tcW w:type="dxa" w:w="3312"/>
            <w:shd w:fill="DCE8F5"/>
            <w:tcMar>
              <w:top w:w="90" w:type="dxa"/>
              <w:start w:w="120" w:type="dxa"/>
              <w:bottom w:w="90" w:type="dxa"/>
              <w:end w:w="120" w:type="dxa"/>
            </w:tcMar>
          </w:tcPr>
          <w:p>
            <w:r>
              <w:rPr>
                <w:b/>
                <w:color w:val="1F3A5F"/>
              </w:rPr>
              <w:t>Drug</w:t>
            </w:r>
          </w:p>
        </w:tc>
        <w:tc>
          <w:tcPr>
            <w:tcW w:type="dxa" w:w="3312"/>
            <w:shd w:fill="DCE8F5"/>
            <w:tcMar>
              <w:top w:w="90" w:type="dxa"/>
              <w:start w:w="120" w:type="dxa"/>
              <w:bottom w:w="90" w:type="dxa"/>
              <w:end w:w="120" w:type="dxa"/>
            </w:tcMar>
          </w:tcPr>
          <w:p>
            <w:r>
              <w:rPr>
                <w:b/>
                <w:color w:val="1F3A5F"/>
              </w:rPr>
              <w:t>Typical adult dose</w:t>
            </w:r>
          </w:p>
        </w:tc>
        <w:tc>
          <w:tcPr>
            <w:tcW w:type="dxa" w:w="3312"/>
            <w:shd w:fill="DCE8F5"/>
            <w:tcMar>
              <w:top w:w="90" w:type="dxa"/>
              <w:start w:w="120" w:type="dxa"/>
              <w:bottom w:w="90" w:type="dxa"/>
              <w:end w:w="120" w:type="dxa"/>
            </w:tcMar>
          </w:tcPr>
          <w:p>
            <w:r>
              <w:rPr>
                <w:b/>
                <w:color w:val="1F3A5F"/>
              </w:rPr>
              <w:t>Notes</w:t>
            </w:r>
          </w:p>
        </w:tc>
      </w:tr>
      <w:tr>
        <w:trPr>
          <w:cantSplit/>
        </w:trPr>
        <w:tc>
          <w:tcPr>
            <w:tcW w:type="dxa" w:w="2160"/>
            <w:tcMar>
              <w:top w:w="90" w:type="dxa"/>
              <w:start w:w="120" w:type="dxa"/>
              <w:bottom w:w="90" w:type="dxa"/>
              <w:end w:w="120" w:type="dxa"/>
            </w:tcMar>
            <w:vAlign w:val="center"/>
          </w:tcPr>
          <w:p>
            <w:pPr>
              <w:spacing w:before="0" w:after="0" w:line="269" w:lineRule="auto"/>
            </w:pPr>
            <w:r>
              <w:t>Ibuprofen</w:t>
            </w:r>
          </w:p>
        </w:tc>
        <w:tc>
          <w:tcPr>
            <w:tcW w:type="dxa" w:w="2304"/>
            <w:tcMar>
              <w:top w:w="90" w:type="dxa"/>
              <w:start w:w="120" w:type="dxa"/>
              <w:bottom w:w="90" w:type="dxa"/>
              <w:end w:w="120" w:type="dxa"/>
            </w:tcMar>
            <w:vAlign w:val="center"/>
          </w:tcPr>
          <w:p>
            <w:pPr>
              <w:spacing w:before="0" w:after="0" w:line="269" w:lineRule="auto"/>
            </w:pPr>
            <w:r>
              <w:t>400–600 mg</w:t>
            </w:r>
          </w:p>
        </w:tc>
        <w:tc>
          <w:tcPr>
            <w:tcW w:type="dxa" w:w="4608"/>
            <w:tcMar>
              <w:top w:w="90" w:type="dxa"/>
              <w:start w:w="120" w:type="dxa"/>
              <w:bottom w:w="90" w:type="dxa"/>
              <w:end w:w="120" w:type="dxa"/>
            </w:tcMar>
            <w:vAlign w:val="center"/>
          </w:tcPr>
          <w:p>
            <w:pPr>
              <w:spacing w:before="0" w:after="0" w:line="269" w:lineRule="auto"/>
            </w:pPr>
            <w:r>
              <w:t>Good evidence base; often first choice if no NSAID contraindication.</w:t>
            </w:r>
          </w:p>
        </w:tc>
      </w:tr>
      <w:tr>
        <w:trPr>
          <w:cantSplit/>
        </w:trPr>
        <w:tc>
          <w:tcPr>
            <w:tcW w:type="dxa" w:w="2160"/>
            <w:tcMar>
              <w:top w:w="90" w:type="dxa"/>
              <w:start w:w="120" w:type="dxa"/>
              <w:bottom w:w="90" w:type="dxa"/>
              <w:end w:w="120" w:type="dxa"/>
            </w:tcMar>
            <w:vAlign w:val="center"/>
          </w:tcPr>
          <w:p>
            <w:pPr>
              <w:spacing w:before="0" w:after="0" w:line="269" w:lineRule="auto"/>
            </w:pPr>
            <w:r>
              <w:t>Aspirin</w:t>
            </w:r>
          </w:p>
        </w:tc>
        <w:tc>
          <w:tcPr>
            <w:tcW w:type="dxa" w:w="2304"/>
            <w:tcMar>
              <w:top w:w="90" w:type="dxa"/>
              <w:start w:w="120" w:type="dxa"/>
              <w:bottom w:w="90" w:type="dxa"/>
              <w:end w:w="120" w:type="dxa"/>
            </w:tcMar>
            <w:vAlign w:val="center"/>
          </w:tcPr>
          <w:p>
            <w:pPr>
              <w:spacing w:before="0" w:after="0" w:line="269" w:lineRule="auto"/>
            </w:pPr>
            <w:r>
              <w:t>500–1000 mg</w:t>
            </w:r>
          </w:p>
        </w:tc>
        <w:tc>
          <w:tcPr>
            <w:tcW w:type="dxa" w:w="4608"/>
            <w:tcMar>
              <w:top w:w="90" w:type="dxa"/>
              <w:start w:w="120" w:type="dxa"/>
              <w:bottom w:w="90" w:type="dxa"/>
              <w:end w:w="120" w:type="dxa"/>
            </w:tcMar>
            <w:vAlign w:val="center"/>
          </w:tcPr>
          <w:p>
            <w:pPr>
              <w:spacing w:before="0" w:after="0" w:line="269" w:lineRule="auto"/>
            </w:pPr>
            <w:r>
              <w:t>Avoid in under-16s; consider GI risk.</w:t>
            </w:r>
          </w:p>
        </w:tc>
      </w:tr>
      <w:tr>
        <w:trPr>
          <w:cantSplit/>
        </w:trPr>
        <w:tc>
          <w:tcPr>
            <w:tcW w:type="dxa" w:w="2160"/>
            <w:tcMar>
              <w:top w:w="90" w:type="dxa"/>
              <w:start w:w="120" w:type="dxa"/>
              <w:bottom w:w="90" w:type="dxa"/>
              <w:end w:w="120" w:type="dxa"/>
            </w:tcMar>
            <w:vAlign w:val="center"/>
          </w:tcPr>
          <w:p>
            <w:pPr>
              <w:spacing w:before="0" w:after="0" w:line="269" w:lineRule="auto"/>
            </w:pPr>
            <w:r>
              <w:t>Naproxen sodium</w:t>
            </w:r>
          </w:p>
        </w:tc>
        <w:tc>
          <w:tcPr>
            <w:tcW w:type="dxa" w:w="2304"/>
            <w:tcMar>
              <w:top w:w="90" w:type="dxa"/>
              <w:start w:w="120" w:type="dxa"/>
              <w:bottom w:w="90" w:type="dxa"/>
              <w:end w:w="120" w:type="dxa"/>
            </w:tcMar>
            <w:vAlign w:val="center"/>
          </w:tcPr>
          <w:p>
            <w:pPr>
              <w:spacing w:before="0" w:after="0" w:line="269" w:lineRule="auto"/>
            </w:pPr>
            <w:r>
              <w:t>220–550 mg</w:t>
            </w:r>
          </w:p>
        </w:tc>
        <w:tc>
          <w:tcPr>
            <w:tcW w:type="dxa" w:w="4608"/>
            <w:tcMar>
              <w:top w:w="90" w:type="dxa"/>
              <w:start w:w="120" w:type="dxa"/>
              <w:bottom w:w="90" w:type="dxa"/>
              <w:end w:w="120" w:type="dxa"/>
            </w:tcMar>
            <w:vAlign w:val="center"/>
          </w:tcPr>
          <w:p>
            <w:pPr>
              <w:spacing w:before="0" w:after="0" w:line="269" w:lineRule="auto"/>
            </w:pPr>
            <w:r>
              <w:t>Useful when longer duration is desired.</w:t>
            </w:r>
          </w:p>
        </w:tc>
      </w:tr>
      <w:tr>
        <w:trPr>
          <w:cantSplit/>
        </w:trPr>
        <w:tc>
          <w:tcPr>
            <w:tcW w:type="dxa" w:w="2160"/>
            <w:tcMar>
              <w:top w:w="90" w:type="dxa"/>
              <w:start w:w="120" w:type="dxa"/>
              <w:bottom w:w="90" w:type="dxa"/>
              <w:end w:w="120" w:type="dxa"/>
            </w:tcMar>
            <w:vAlign w:val="center"/>
          </w:tcPr>
          <w:p>
            <w:pPr>
              <w:spacing w:before="0" w:after="0" w:line="269" w:lineRule="auto"/>
            </w:pPr>
            <w:r>
              <w:t>Diclofenac</w:t>
            </w:r>
          </w:p>
        </w:tc>
        <w:tc>
          <w:tcPr>
            <w:tcW w:type="dxa" w:w="2304"/>
            <w:tcMar>
              <w:top w:w="90" w:type="dxa"/>
              <w:start w:w="120" w:type="dxa"/>
              <w:bottom w:w="90" w:type="dxa"/>
              <w:end w:w="120" w:type="dxa"/>
            </w:tcMar>
            <w:vAlign w:val="center"/>
          </w:tcPr>
          <w:p>
            <w:pPr>
              <w:spacing w:before="0" w:after="0" w:line="269" w:lineRule="auto"/>
            </w:pPr>
            <w:r>
              <w:t>25–100 mg</w:t>
            </w:r>
          </w:p>
        </w:tc>
        <w:tc>
          <w:tcPr>
            <w:tcW w:type="dxa" w:w="4608"/>
            <w:tcMar>
              <w:top w:w="90" w:type="dxa"/>
              <w:start w:w="120" w:type="dxa"/>
              <w:bottom w:w="90" w:type="dxa"/>
              <w:end w:w="120" w:type="dxa"/>
            </w:tcMar>
            <w:vAlign w:val="center"/>
          </w:tcPr>
          <w:p>
            <w:pPr>
              <w:spacing w:before="0" w:after="0" w:line="269" w:lineRule="auto"/>
            </w:pPr>
            <w:r>
              <w:t>Effective option; consider cardiovascular/GI profile.</w:t>
            </w:r>
          </w:p>
        </w:tc>
      </w:tr>
      <w:tr>
        <w:trPr>
          <w:cantSplit/>
        </w:trPr>
        <w:tc>
          <w:tcPr>
            <w:tcW w:type="dxa" w:w="2160"/>
            <w:tcMar>
              <w:top w:w="90" w:type="dxa"/>
              <w:start w:w="120" w:type="dxa"/>
              <w:bottom w:w="90" w:type="dxa"/>
              <w:end w:w="120" w:type="dxa"/>
            </w:tcMar>
            <w:vAlign w:val="center"/>
          </w:tcPr>
          <w:p>
            <w:pPr>
              <w:spacing w:before="0" w:after="0" w:line="269" w:lineRule="auto"/>
            </w:pPr>
            <w:r>
              <w:t>Ketoprofen</w:t>
            </w:r>
          </w:p>
        </w:tc>
        <w:tc>
          <w:tcPr>
            <w:tcW w:type="dxa" w:w="2304"/>
            <w:tcMar>
              <w:top w:w="90" w:type="dxa"/>
              <w:start w:w="120" w:type="dxa"/>
              <w:bottom w:w="90" w:type="dxa"/>
              <w:end w:w="120" w:type="dxa"/>
            </w:tcMar>
            <w:vAlign w:val="center"/>
          </w:tcPr>
          <w:p>
            <w:pPr>
              <w:spacing w:before="0" w:after="0" w:line="269" w:lineRule="auto"/>
            </w:pPr>
            <w:r>
              <w:t>25–50 mg</w:t>
            </w:r>
          </w:p>
        </w:tc>
        <w:tc>
          <w:tcPr>
            <w:tcW w:type="dxa" w:w="4608"/>
            <w:tcMar>
              <w:top w:w="90" w:type="dxa"/>
              <w:start w:w="120" w:type="dxa"/>
              <w:bottom w:w="90" w:type="dxa"/>
              <w:end w:w="120" w:type="dxa"/>
            </w:tcMar>
            <w:vAlign w:val="center"/>
          </w:tcPr>
          <w:p>
            <w:pPr>
              <w:spacing w:before="0" w:after="0" w:line="269" w:lineRule="auto"/>
            </w:pPr>
            <w:r>
              <w:t>Reasonable alternative where available.</w:t>
            </w:r>
          </w:p>
        </w:tc>
      </w:tr>
      <w:tr>
        <w:trPr>
          <w:cantSplit/>
        </w:trPr>
        <w:tc>
          <w:tcPr>
            <w:tcW w:type="dxa" w:w="2160"/>
            <w:tcMar>
              <w:top w:w="90" w:type="dxa"/>
              <w:start w:w="120" w:type="dxa"/>
              <w:bottom w:w="90" w:type="dxa"/>
              <w:end w:w="120" w:type="dxa"/>
            </w:tcMar>
            <w:vAlign w:val="center"/>
          </w:tcPr>
          <w:p>
            <w:pPr>
              <w:spacing w:before="0" w:after="0" w:line="269" w:lineRule="auto"/>
            </w:pPr>
            <w:r>
              <w:t>Paracetamol / acetaminophen</w:t>
            </w:r>
          </w:p>
        </w:tc>
        <w:tc>
          <w:tcPr>
            <w:tcW w:type="dxa" w:w="2304"/>
            <w:tcMar>
              <w:top w:w="90" w:type="dxa"/>
              <w:start w:w="120" w:type="dxa"/>
              <w:bottom w:w="90" w:type="dxa"/>
              <w:end w:w="120" w:type="dxa"/>
            </w:tcMar>
            <w:vAlign w:val="center"/>
          </w:tcPr>
          <w:p>
            <w:pPr>
              <w:spacing w:before="0" w:after="0" w:line="269" w:lineRule="auto"/>
            </w:pPr>
            <w:r>
              <w:t>500–1000 mg</w:t>
            </w:r>
          </w:p>
        </w:tc>
        <w:tc>
          <w:tcPr>
            <w:tcW w:type="dxa" w:w="4608"/>
            <w:tcMar>
              <w:top w:w="90" w:type="dxa"/>
              <w:start w:w="120" w:type="dxa"/>
              <w:bottom w:w="90" w:type="dxa"/>
              <w:end w:w="120" w:type="dxa"/>
            </w:tcMar>
            <w:vAlign w:val="center"/>
          </w:tcPr>
          <w:p>
            <w:pPr>
              <w:spacing w:before="0" w:after="0" w:line="269" w:lineRule="auto"/>
            </w:pPr>
            <w:r>
              <w:t>Preferred when NSAIDs/aspirin are unsuitable and in pregnancy.</w:t>
            </w:r>
          </w:p>
        </w:tc>
      </w:tr>
    </w:tbl>
    <w:p>
      <w:pPr>
        <w:spacing w:before="0" w:after="40" w:line="269" w:lineRule="auto"/>
        <w:ind w:left="0" w:hanging="230"/>
      </w:pPr>
      <w:r>
        <w:rPr>
          <w:b/>
        </w:rPr>
        <w:t xml:space="preserve">• </w:t>
      </w:r>
      <w:r>
        <w:t>Treat as early as possible after headache onset.</w:t>
      </w:r>
    </w:p>
    <w:p>
      <w:pPr>
        <w:spacing w:before="0" w:after="40" w:line="269" w:lineRule="auto"/>
        <w:ind w:left="0" w:hanging="230"/>
      </w:pPr>
      <w:r>
        <w:rPr>
          <w:b/>
        </w:rPr>
        <w:t xml:space="preserve">• </w:t>
      </w:r>
      <w:r>
        <w:t>Use an effective single dose rather than repeated subtherapeutic dosing.</w:t>
      </w:r>
    </w:p>
    <w:p>
      <w:pPr>
        <w:spacing w:before="0" w:after="40" w:line="269" w:lineRule="auto"/>
        <w:ind w:left="0" w:hanging="230"/>
      </w:pPr>
      <w:r>
        <w:rPr>
          <w:b/>
        </w:rPr>
        <w:t xml:space="preserve">• </w:t>
      </w:r>
      <w:r>
        <w:t>If one simple analgesic fails, try a different simple analgesic before escalating the label to 'refractory TTH'.</w:t>
      </w:r>
    </w:p>
    <w:p>
      <w:pPr>
        <w:pStyle w:val="Heading2"/>
        <w:keepNext/>
      </w:pPr>
      <w:r>
        <w:t>5.2 Escalation for persistent symptoms</w:t>
      </w:r>
    </w:p>
    <w:p>
      <w:pPr>
        <w:spacing w:before="0" w:after="40" w:line="269" w:lineRule="auto"/>
        <w:ind w:left="0" w:hanging="230"/>
      </w:pPr>
      <w:r>
        <w:rPr>
          <w:b/>
        </w:rPr>
        <w:t xml:space="preserve">• </w:t>
      </w:r>
      <w:r>
        <w:t>Combination analgesics containing caffeine can be used for episodic TTH not responding to simple analgesics; a practical regimen is acetaminophen/aspirin/caffeine.</w:t>
      </w:r>
    </w:p>
    <w:p>
      <w:pPr>
        <w:spacing w:before="0" w:after="40" w:line="269" w:lineRule="auto"/>
        <w:ind w:left="0" w:hanging="230"/>
      </w:pPr>
      <w:r>
        <w:rPr>
          <w:b/>
        </w:rPr>
        <w:t xml:space="preserve">• </w:t>
      </w:r>
      <w:r>
        <w:t>Parenteral therapy (for severe attacks presenting to an urgent care or ED) may include ketorolac, metoclopramide, or chlorpromazine, usually after diagnostic reconsideration.</w:t>
      </w:r>
    </w:p>
    <w:p>
      <w:pPr>
        <w:spacing w:before="0" w:after="40" w:line="269" w:lineRule="auto"/>
        <w:ind w:left="0" w:hanging="230"/>
      </w:pPr>
      <w:r>
        <w:rPr>
          <w:b/>
        </w:rPr>
        <w:t xml:space="preserve">• </w:t>
      </w:r>
      <w:r>
        <w:t>If symptoms are severe, recurrent, or atypical, re-evaluate for migraine, medication overuse, cervicogenic headache, or a secondary cause before repeatedly escalating acute therapy.</w:t>
      </w:r>
    </w:p>
    <w:p>
      <w:pPr>
        <w:pStyle w:val="Heading2"/>
        <w:keepNext/>
      </w:pPr>
      <w:r>
        <w:t>5.3 Treatments to avoid or use only rarely</w:t>
      </w:r>
    </w:p>
    <w:p>
      <w:pPr>
        <w:spacing w:before="0" w:after="40" w:line="269" w:lineRule="auto"/>
        <w:ind w:left="0" w:hanging="230"/>
      </w:pPr>
      <w:r>
        <w:rPr>
          <w:b/>
        </w:rPr>
        <w:t xml:space="preserve">• </w:t>
      </w:r>
      <w:r>
        <w:t>Do not use opioids routinely for acute TTH.</w:t>
      </w:r>
    </w:p>
    <w:p>
      <w:pPr>
        <w:spacing w:before="0" w:after="40" w:line="269" w:lineRule="auto"/>
        <w:ind w:left="0" w:hanging="230"/>
      </w:pPr>
      <w:r>
        <w:rPr>
          <w:b/>
        </w:rPr>
        <w:t xml:space="preserve">• </w:t>
      </w:r>
      <w:r>
        <w:t>Triptans are not standard treatment for TTH and should not be used unless the clinical picture is actually migraine or mixed migraine/TTH.</w:t>
      </w:r>
    </w:p>
    <w:p>
      <w:pPr>
        <w:spacing w:before="0" w:after="40" w:line="269" w:lineRule="auto"/>
        <w:ind w:left="0" w:hanging="230"/>
      </w:pPr>
      <w:r>
        <w:rPr>
          <w:b/>
        </w:rPr>
        <w:t xml:space="preserve">• </w:t>
      </w:r>
      <w:r>
        <w:t>Muscle relaxants are not recommended for routine acute TTH treatment.</w:t>
      </w:r>
    </w:p>
    <w:p>
      <w:pPr>
        <w:spacing w:before="0" w:after="40" w:line="269" w:lineRule="auto"/>
        <w:ind w:left="0" w:hanging="230"/>
      </w:pPr>
      <w:r>
        <w:rPr>
          <w:b/>
        </w:rPr>
        <w:t xml:space="preserve">• </w:t>
      </w:r>
      <w:r>
        <w:t>Limit acute therapy frequency to reduce medication-overuse headache risk: simple analgesics ≤14 days/month; combination analgesics ≤9 days/month; butalbital-containing agents should generally be avoided.</w:t>
      </w:r>
    </w:p>
    <w:p>
      <w:pPr>
        <w:pStyle w:val="Heading1"/>
        <w:keepNext/>
      </w:pPr>
      <w:r>
        <w:t>6. Preventive treatment</w:t>
      </w:r>
    </w:p>
    <w:p>
      <w:r>
        <w:t>Preventive treatment is indicated when headaches are frequent, prolonged, disabling, poorly responsive to acute therapy, or when acute medication use is beginning to escalate.</w:t>
      </w:r>
    </w:p>
    <w:p>
      <w:pPr>
        <w:pStyle w:val="Heading2"/>
        <w:keepNext/>
      </w:pPr>
      <w:r>
        <w:t>6.1 When to start prevention</w:t>
      </w:r>
    </w:p>
    <w:p>
      <w:pPr>
        <w:spacing w:before="0" w:after="40" w:line="269" w:lineRule="auto"/>
        <w:ind w:left="0" w:hanging="230"/>
      </w:pPr>
      <w:r>
        <w:rPr>
          <w:b/>
        </w:rPr>
        <w:t xml:space="preserve">• </w:t>
      </w:r>
      <w:r>
        <w:t>At least 2 headache days each week, or</w:t>
      </w:r>
    </w:p>
    <w:p>
      <w:pPr>
        <w:spacing w:before="0" w:after="40" w:line="269" w:lineRule="auto"/>
        <w:ind w:left="0" w:hanging="230"/>
      </w:pPr>
      <w:r>
        <w:rPr>
          <w:b/>
        </w:rPr>
        <w:t xml:space="preserve">• </w:t>
      </w:r>
      <w:r>
        <w:t>Headaches often last 4 hours or more, or</w:t>
      </w:r>
    </w:p>
    <w:p>
      <w:pPr>
        <w:spacing w:before="0" w:after="40" w:line="269" w:lineRule="auto"/>
        <w:ind w:left="0" w:hanging="230"/>
      </w:pPr>
      <w:r>
        <w:rPr>
          <w:b/>
        </w:rPr>
        <w:t xml:space="preserve">• </w:t>
      </w:r>
      <w:r>
        <w:t>Symptoms meaningfully impair function, or</w:t>
      </w:r>
    </w:p>
    <w:p>
      <w:pPr>
        <w:spacing w:before="0" w:after="40" w:line="269" w:lineRule="auto"/>
        <w:ind w:left="0" w:hanging="230"/>
      </w:pPr>
      <w:r>
        <w:rPr>
          <w:b/>
        </w:rPr>
        <w:t xml:space="preserve">• </w:t>
      </w:r>
      <w:r>
        <w:t>Acute treatment is only partly effective, poorly tolerated, or being used too often.</w:t>
      </w:r>
    </w:p>
    <w:p>
      <w:pPr>
        <w:pStyle w:val="Heading2"/>
        <w:keepNext/>
      </w:pPr>
      <w:r>
        <w:t>6.2 Non-pharmacologic prevention</w:t>
      </w:r>
    </w:p>
    <w:p>
      <w:pPr>
        <w:spacing w:before="0" w:after="40" w:line="269" w:lineRule="auto"/>
        <w:ind w:left="0" w:hanging="230"/>
      </w:pPr>
      <w:r>
        <w:rPr>
          <w:b/>
        </w:rPr>
        <w:t xml:space="preserve">• </w:t>
      </w:r>
      <w:r>
        <w:t>Behavioural therapy is an appropriate starting strategy for many patients, especially biofeedback plus relaxation therapy.</w:t>
      </w:r>
    </w:p>
    <w:p>
      <w:pPr>
        <w:spacing w:before="0" w:after="40" w:line="269" w:lineRule="auto"/>
        <w:ind w:left="0" w:hanging="230"/>
      </w:pPr>
      <w:r>
        <w:rPr>
          <w:b/>
        </w:rPr>
        <w:t xml:space="preserve">• </w:t>
      </w:r>
      <w:r>
        <w:t>Stress management, trigger modification, sleep regularisation, hydration, and structured exercise are useful practical measures.</w:t>
      </w:r>
    </w:p>
    <w:p>
      <w:pPr>
        <w:spacing w:before="0" w:after="40" w:line="269" w:lineRule="auto"/>
        <w:ind w:left="0" w:hanging="230"/>
      </w:pPr>
      <w:r>
        <w:rPr>
          <w:b/>
        </w:rPr>
        <w:t xml:space="preserve">• </w:t>
      </w:r>
      <w:r>
        <w:t>Physical therapy or aerobic exercise is reasonable, especially when there is cervical/pericranial musculoskeletal contribution.</w:t>
      </w:r>
    </w:p>
    <w:p>
      <w:pPr>
        <w:spacing w:before="0" w:after="40" w:line="269" w:lineRule="auto"/>
        <w:ind w:left="0" w:hanging="230"/>
      </w:pPr>
      <w:r>
        <w:rPr>
          <w:b/>
        </w:rPr>
        <w:t xml:space="preserve">• </w:t>
      </w:r>
      <w:r>
        <w:t>Acupuncture is supported by NICE for chronic TTH and may help selected patients who prefer non-drug options.</w:t>
      </w:r>
    </w:p>
    <w:p>
      <w:pPr>
        <w:pStyle w:val="Heading2"/>
        <w:keepNext/>
      </w:pPr>
      <w:r>
        <w:t>6.3 Pharmacologic prevention</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2448"/>
        <w:gridCol w:w="2592"/>
        <w:gridCol w:w="4032"/>
      </w:tblGrid>
      <w:tr>
        <w:trPr>
          <w:tblHeader w:val="true"/>
        </w:trPr>
        <w:tc>
          <w:tcPr>
            <w:tcW w:type="dxa" w:w="3312"/>
            <w:shd w:fill="DCE8F5"/>
            <w:tcMar>
              <w:top w:w="90" w:type="dxa"/>
              <w:start w:w="120" w:type="dxa"/>
              <w:bottom w:w="90" w:type="dxa"/>
              <w:end w:w="120" w:type="dxa"/>
            </w:tcMar>
          </w:tcPr>
          <w:p>
            <w:r>
              <w:rPr>
                <w:b/>
                <w:color w:val="1F3A5F"/>
              </w:rPr>
              <w:t>Agent</w:t>
            </w:r>
          </w:p>
        </w:tc>
        <w:tc>
          <w:tcPr>
            <w:tcW w:type="dxa" w:w="3312"/>
            <w:shd w:fill="DCE8F5"/>
            <w:tcMar>
              <w:top w:w="90" w:type="dxa"/>
              <w:start w:w="120" w:type="dxa"/>
              <w:bottom w:w="90" w:type="dxa"/>
              <w:end w:w="120" w:type="dxa"/>
            </w:tcMar>
          </w:tcPr>
          <w:p>
            <w:r>
              <w:rPr>
                <w:b/>
                <w:color w:val="1F3A5F"/>
              </w:rPr>
              <w:t>Typical starting / target approach</w:t>
            </w:r>
          </w:p>
        </w:tc>
        <w:tc>
          <w:tcPr>
            <w:tcW w:type="dxa" w:w="3312"/>
            <w:shd w:fill="DCE8F5"/>
            <w:tcMar>
              <w:top w:w="90" w:type="dxa"/>
              <w:start w:w="120" w:type="dxa"/>
              <w:bottom w:w="90" w:type="dxa"/>
              <w:end w:w="120" w:type="dxa"/>
            </w:tcMar>
          </w:tcPr>
          <w:p>
            <w:r>
              <w:rPr>
                <w:b/>
                <w:color w:val="1F3A5F"/>
              </w:rPr>
              <w:t>Practical comments</w:t>
            </w:r>
          </w:p>
        </w:tc>
      </w:tr>
      <w:tr>
        <w:trPr>
          <w:cantSplit/>
        </w:trPr>
        <w:tc>
          <w:tcPr>
            <w:tcW w:type="dxa" w:w="2448"/>
            <w:tcMar>
              <w:top w:w="90" w:type="dxa"/>
              <w:start w:w="120" w:type="dxa"/>
              <w:bottom w:w="90" w:type="dxa"/>
              <w:end w:w="120" w:type="dxa"/>
            </w:tcMar>
            <w:vAlign w:val="center"/>
          </w:tcPr>
          <w:p>
            <w:pPr>
              <w:spacing w:before="0" w:after="0" w:line="269" w:lineRule="auto"/>
            </w:pPr>
            <w:r>
              <w:t>Amitriptyline</w:t>
            </w:r>
          </w:p>
        </w:tc>
        <w:tc>
          <w:tcPr>
            <w:tcW w:type="dxa" w:w="2592"/>
            <w:tcMar>
              <w:top w:w="90" w:type="dxa"/>
              <w:start w:w="120" w:type="dxa"/>
              <w:bottom w:w="90" w:type="dxa"/>
              <w:end w:w="120" w:type="dxa"/>
            </w:tcMar>
            <w:vAlign w:val="center"/>
          </w:tcPr>
          <w:p>
            <w:pPr>
              <w:spacing w:before="0" w:after="0" w:line="269" w:lineRule="auto"/>
            </w:pPr>
            <w:r>
              <w:t>10–12.5 mg nightly, titrate slowly; often target 25–75 mg, sometimes higher</w:t>
            </w:r>
          </w:p>
        </w:tc>
        <w:tc>
          <w:tcPr>
            <w:tcW w:type="dxa" w:w="4032"/>
            <w:tcMar>
              <w:top w:w="90" w:type="dxa"/>
              <w:start w:w="120" w:type="dxa"/>
              <w:bottom w:w="90" w:type="dxa"/>
              <w:end w:w="120" w:type="dxa"/>
            </w:tcMar>
            <w:vAlign w:val="center"/>
          </w:tcPr>
          <w:p>
            <w:pPr>
              <w:spacing w:before="0" w:after="0" w:line="269" w:lineRule="auto"/>
            </w:pPr>
            <w:r>
              <w:t>Best-supported drug preventive for chronic TTH; watch sedation, anticholinergic burden, weight gain, and ECG/cardiac issues in at-risk patients.</w:t>
            </w:r>
          </w:p>
        </w:tc>
      </w:tr>
      <w:tr>
        <w:trPr>
          <w:cantSplit/>
        </w:trPr>
        <w:tc>
          <w:tcPr>
            <w:tcW w:type="dxa" w:w="2448"/>
            <w:tcMar>
              <w:top w:w="90" w:type="dxa"/>
              <w:start w:w="120" w:type="dxa"/>
              <w:bottom w:w="90" w:type="dxa"/>
              <w:end w:w="120" w:type="dxa"/>
            </w:tcMar>
            <w:vAlign w:val="center"/>
          </w:tcPr>
          <w:p>
            <w:pPr>
              <w:spacing w:before="0" w:after="0" w:line="269" w:lineRule="auto"/>
            </w:pPr>
            <w:r>
              <w:t>Nortriptyline / protriptyline</w:t>
            </w:r>
          </w:p>
        </w:tc>
        <w:tc>
          <w:tcPr>
            <w:tcW w:type="dxa" w:w="2592"/>
            <w:tcMar>
              <w:top w:w="90" w:type="dxa"/>
              <w:start w:w="120" w:type="dxa"/>
              <w:bottom w:w="90" w:type="dxa"/>
              <w:end w:w="120" w:type="dxa"/>
            </w:tcMar>
            <w:vAlign w:val="center"/>
          </w:tcPr>
          <w:p>
            <w:pPr>
              <w:spacing w:before="0" w:after="0" w:line="269" w:lineRule="auto"/>
            </w:pPr>
            <w:r>
              <w:t>Use if amitriptyline is poorly tolerated</w:t>
            </w:r>
          </w:p>
        </w:tc>
        <w:tc>
          <w:tcPr>
            <w:tcW w:type="dxa" w:w="4032"/>
            <w:tcMar>
              <w:top w:w="90" w:type="dxa"/>
              <w:start w:w="120" w:type="dxa"/>
              <w:bottom w:w="90" w:type="dxa"/>
              <w:end w:w="120" w:type="dxa"/>
            </w:tcMar>
            <w:vAlign w:val="center"/>
          </w:tcPr>
          <w:p>
            <w:pPr>
              <w:spacing w:before="0" w:after="0" w:line="269" w:lineRule="auto"/>
            </w:pPr>
            <w:r>
              <w:t>Less evidence than amitriptyline but practical alternatives in selected patients.</w:t>
            </w:r>
          </w:p>
        </w:tc>
      </w:tr>
      <w:tr>
        <w:trPr>
          <w:cantSplit/>
        </w:trPr>
        <w:tc>
          <w:tcPr>
            <w:tcW w:type="dxa" w:w="2448"/>
            <w:tcMar>
              <w:top w:w="90" w:type="dxa"/>
              <w:start w:w="120" w:type="dxa"/>
              <w:bottom w:w="90" w:type="dxa"/>
              <w:end w:w="120" w:type="dxa"/>
            </w:tcMar>
            <w:vAlign w:val="center"/>
          </w:tcPr>
          <w:p>
            <w:pPr>
              <w:spacing w:before="0" w:after="0" w:line="269" w:lineRule="auto"/>
            </w:pPr>
            <w:r>
              <w:t>Mirtazapine</w:t>
            </w:r>
          </w:p>
        </w:tc>
        <w:tc>
          <w:tcPr>
            <w:tcW w:type="dxa" w:w="2592"/>
            <w:tcMar>
              <w:top w:w="90" w:type="dxa"/>
              <w:start w:w="120" w:type="dxa"/>
              <w:bottom w:w="90" w:type="dxa"/>
              <w:end w:w="120" w:type="dxa"/>
            </w:tcMar>
            <w:vAlign w:val="center"/>
          </w:tcPr>
          <w:p>
            <w:pPr>
              <w:spacing w:before="0" w:after="0" w:line="269" w:lineRule="auto"/>
            </w:pPr>
            <w:r>
              <w:t>15 mg nightly, may increase to 30 mg</w:t>
            </w:r>
          </w:p>
        </w:tc>
        <w:tc>
          <w:tcPr>
            <w:tcW w:type="dxa" w:w="4032"/>
            <w:tcMar>
              <w:top w:w="90" w:type="dxa"/>
              <w:start w:w="120" w:type="dxa"/>
              <w:bottom w:w="90" w:type="dxa"/>
              <w:end w:w="120" w:type="dxa"/>
            </w:tcMar>
            <w:vAlign w:val="center"/>
          </w:tcPr>
          <w:p>
            <w:pPr>
              <w:spacing w:before="0" w:after="0" w:line="269" w:lineRule="auto"/>
            </w:pPr>
            <w:r>
              <w:t>May help when sleep disturbance or poor tricyclic tolerance coexists.</w:t>
            </w:r>
          </w:p>
        </w:tc>
      </w:tr>
      <w:tr>
        <w:trPr>
          <w:cantSplit/>
        </w:trPr>
        <w:tc>
          <w:tcPr>
            <w:tcW w:type="dxa" w:w="2448"/>
            <w:tcMar>
              <w:top w:w="90" w:type="dxa"/>
              <w:start w:w="120" w:type="dxa"/>
              <w:bottom w:w="90" w:type="dxa"/>
              <w:end w:w="120" w:type="dxa"/>
            </w:tcMar>
            <w:vAlign w:val="center"/>
          </w:tcPr>
          <w:p>
            <w:pPr>
              <w:spacing w:before="0" w:after="0" w:line="269" w:lineRule="auto"/>
            </w:pPr>
            <w:r>
              <w:t>Venlafaxine</w:t>
            </w:r>
          </w:p>
        </w:tc>
        <w:tc>
          <w:tcPr>
            <w:tcW w:type="dxa" w:w="2592"/>
            <w:tcMar>
              <w:top w:w="90" w:type="dxa"/>
              <w:start w:w="120" w:type="dxa"/>
              <w:bottom w:w="90" w:type="dxa"/>
              <w:end w:w="120" w:type="dxa"/>
            </w:tcMar>
            <w:vAlign w:val="center"/>
          </w:tcPr>
          <w:p>
            <w:pPr>
              <w:spacing w:before="0" w:after="0" w:line="269" w:lineRule="auto"/>
            </w:pPr>
            <w:r>
              <w:t>37.5 mg daily, titrate upward if needed</w:t>
            </w:r>
          </w:p>
        </w:tc>
        <w:tc>
          <w:tcPr>
            <w:tcW w:type="dxa" w:w="4032"/>
            <w:tcMar>
              <w:top w:w="90" w:type="dxa"/>
              <w:start w:w="120" w:type="dxa"/>
              <w:bottom w:w="90" w:type="dxa"/>
              <w:end w:w="120" w:type="dxa"/>
            </w:tcMar>
            <w:vAlign w:val="center"/>
          </w:tcPr>
          <w:p>
            <w:pPr>
              <w:spacing w:before="0" w:after="0" w:line="269" w:lineRule="auto"/>
            </w:pPr>
            <w:r>
              <w:t>Evidence is weaker than for amitriptyline; useful when anxiety/depression is prominent.</w:t>
            </w:r>
          </w:p>
        </w:tc>
      </w:tr>
      <w:tr>
        <w:trPr>
          <w:cantSplit/>
        </w:trPr>
        <w:tc>
          <w:tcPr>
            <w:tcW w:type="dxa" w:w="2448"/>
            <w:tcMar>
              <w:top w:w="90" w:type="dxa"/>
              <w:start w:w="120" w:type="dxa"/>
              <w:bottom w:w="90" w:type="dxa"/>
              <w:end w:w="120" w:type="dxa"/>
            </w:tcMar>
            <w:vAlign w:val="center"/>
          </w:tcPr>
          <w:p>
            <w:pPr>
              <w:spacing w:before="0" w:after="0" w:line="269" w:lineRule="auto"/>
            </w:pPr>
            <w:r>
              <w:t>Topiramate / gabapentin / tizanidine</w:t>
            </w:r>
          </w:p>
        </w:tc>
        <w:tc>
          <w:tcPr>
            <w:tcW w:type="dxa" w:w="2592"/>
            <w:tcMar>
              <w:top w:w="90" w:type="dxa"/>
              <w:start w:w="120" w:type="dxa"/>
              <w:bottom w:w="90" w:type="dxa"/>
              <w:end w:w="120" w:type="dxa"/>
            </w:tcMar>
            <w:vAlign w:val="center"/>
          </w:tcPr>
          <w:p>
            <w:pPr>
              <w:spacing w:before="0" w:after="0" w:line="269" w:lineRule="auto"/>
            </w:pPr>
            <w:r>
              <w:t>Specialist-selected alternatives</w:t>
            </w:r>
          </w:p>
        </w:tc>
        <w:tc>
          <w:tcPr>
            <w:tcW w:type="dxa" w:w="4032"/>
            <w:tcMar>
              <w:top w:w="90" w:type="dxa"/>
              <w:start w:w="120" w:type="dxa"/>
              <w:bottom w:w="90" w:type="dxa"/>
              <w:end w:w="120" w:type="dxa"/>
            </w:tcMar>
            <w:vAlign w:val="center"/>
          </w:tcPr>
          <w:p>
            <w:pPr>
              <w:spacing w:before="0" w:after="0" w:line="269" w:lineRule="auto"/>
            </w:pPr>
            <w:r>
              <w:t>Evidence is limited or inconsistent; not first-choice routine options.</w:t>
            </w:r>
          </w:p>
        </w:tc>
      </w:tr>
    </w:tbl>
    <w:p>
      <w:pPr>
        <w:spacing w:before="0" w:after="40" w:line="269" w:lineRule="auto"/>
        <w:ind w:left="0" w:hanging="230"/>
      </w:pPr>
      <w:r>
        <w:rPr>
          <w:b/>
        </w:rPr>
        <w:t xml:space="preserve">• </w:t>
      </w:r>
      <w:r>
        <w:t>Start low and titrate slowly.</w:t>
      </w:r>
    </w:p>
    <w:p>
      <w:pPr>
        <w:spacing w:before="0" w:after="40" w:line="269" w:lineRule="auto"/>
        <w:ind w:left="0" w:hanging="230"/>
      </w:pPr>
      <w:r>
        <w:rPr>
          <w:b/>
        </w:rPr>
        <w:t xml:space="preserve">• </w:t>
      </w:r>
      <w:r>
        <w:t>Give a fair trial: early benefit may take 4–6 weeks, with fuller effect over 2–3 months.</w:t>
      </w:r>
    </w:p>
    <w:p>
      <w:pPr>
        <w:spacing w:before="0" w:after="40" w:line="269" w:lineRule="auto"/>
        <w:ind w:left="0" w:hanging="230"/>
      </w:pPr>
      <w:r>
        <w:rPr>
          <w:b/>
        </w:rPr>
        <w:t xml:space="preserve">• </w:t>
      </w:r>
      <w:r>
        <w:t>Review headache diary data rather than relying on memory alone.</w:t>
      </w:r>
    </w:p>
    <w:p>
      <w:pPr>
        <w:spacing w:before="0" w:after="40" w:line="269" w:lineRule="auto"/>
        <w:ind w:left="0" w:hanging="230"/>
      </w:pPr>
      <w:r>
        <w:rPr>
          <w:b/>
        </w:rPr>
        <w:t xml:space="preserve">• </w:t>
      </w:r>
      <w:r>
        <w:t>Once effective, continue for at least 3–6 months before considering gradual taper.</w:t>
      </w:r>
    </w:p>
    <w:p>
      <w:pPr>
        <w:pStyle w:val="Heading2"/>
        <w:keepNext/>
      </w:pPr>
      <w:r>
        <w:t>6.4 Interventional options</w:t>
      </w:r>
    </w:p>
    <w:p>
      <w:pPr>
        <w:spacing w:before="0" w:after="40" w:line="269" w:lineRule="auto"/>
        <w:ind w:left="0" w:hanging="230"/>
      </w:pPr>
      <w:r>
        <w:rPr>
          <w:b/>
        </w:rPr>
        <w:t xml:space="preserve">• </w:t>
      </w:r>
      <w:r>
        <w:t>Botulinum toxin is not a routine recommended preventive for chronic TTH; both U.S. and European guidance are cautious, and evidence remains uncertain.</w:t>
      </w:r>
    </w:p>
    <w:p>
      <w:pPr>
        <w:spacing w:before="0" w:after="40" w:line="269" w:lineRule="auto"/>
        <w:ind w:left="0" w:hanging="230"/>
      </w:pPr>
      <w:r>
        <w:rPr>
          <w:b/>
        </w:rPr>
        <w:t xml:space="preserve">• </w:t>
      </w:r>
      <w:r>
        <w:t>Trigger-point injections or other local procedures may help selected patients, but they are not standard first-line TTH prevention.</w:t>
      </w:r>
    </w:p>
    <w:p>
      <w:pPr>
        <w:pStyle w:val="Heading1"/>
        <w:keepNext/>
      </w:pPr>
      <w:r>
        <w:t>7. Practical stepwise algorithm</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1728"/>
        <w:gridCol w:w="7344"/>
      </w:tblGrid>
      <w:tr>
        <w:trPr>
          <w:tblHeader w:val="true"/>
        </w:trPr>
        <w:tc>
          <w:tcPr>
            <w:tcW w:type="dxa" w:w="4968"/>
            <w:shd w:fill="DCE8F5"/>
            <w:tcMar>
              <w:top w:w="90" w:type="dxa"/>
              <w:start w:w="120" w:type="dxa"/>
              <w:bottom w:w="90" w:type="dxa"/>
              <w:end w:w="120" w:type="dxa"/>
            </w:tcMar>
          </w:tcPr>
          <w:p>
            <w:r>
              <w:rPr>
                <w:b/>
                <w:color w:val="1F3A5F"/>
              </w:rPr>
              <w:t>Step</w:t>
            </w:r>
          </w:p>
        </w:tc>
        <w:tc>
          <w:tcPr>
            <w:tcW w:type="dxa" w:w="4968"/>
            <w:shd w:fill="DCE8F5"/>
            <w:tcMar>
              <w:top w:w="90" w:type="dxa"/>
              <w:start w:w="120" w:type="dxa"/>
              <w:bottom w:w="90" w:type="dxa"/>
              <w:end w:w="120" w:type="dxa"/>
            </w:tcMar>
          </w:tcPr>
          <w:p>
            <w:r>
              <w:rPr>
                <w:b/>
                <w:color w:val="1F3A5F"/>
              </w:rPr>
              <w:t>Action</w:t>
            </w:r>
          </w:p>
        </w:tc>
      </w:tr>
      <w:tr>
        <w:trPr>
          <w:cantSplit/>
        </w:trPr>
        <w:tc>
          <w:tcPr>
            <w:tcW w:type="dxa" w:w="1728"/>
            <w:tcMar>
              <w:top w:w="90" w:type="dxa"/>
              <w:start w:w="120" w:type="dxa"/>
              <w:bottom w:w="90" w:type="dxa"/>
              <w:end w:w="120" w:type="dxa"/>
            </w:tcMar>
            <w:vAlign w:val="center"/>
            <w:shd w:fill="F4F7FB"/>
          </w:tcPr>
          <w:p>
            <w:pPr>
              <w:spacing w:before="0" w:after="0" w:line="269" w:lineRule="auto"/>
              <w:jc w:val="center"/>
            </w:pPr>
            <w:r>
              <w:rPr>
                <w:b/>
              </w:rPr>
              <w:t>1</w:t>
            </w:r>
          </w:p>
        </w:tc>
        <w:tc>
          <w:tcPr>
            <w:tcW w:type="dxa" w:w="7344"/>
            <w:tcMar>
              <w:top w:w="90" w:type="dxa"/>
              <w:start w:w="120" w:type="dxa"/>
              <w:bottom w:w="90" w:type="dxa"/>
              <w:end w:w="120" w:type="dxa"/>
            </w:tcMar>
            <w:vAlign w:val="center"/>
          </w:tcPr>
          <w:p>
            <w:pPr>
              <w:spacing w:before="0" w:after="0" w:line="269" w:lineRule="auto"/>
            </w:pPr>
            <w:r>
              <w:t>Confirm that the phenotype really fits TTH and not migraine, chronic migraine, medication-overuse headache, or a secondary headache.</w:t>
            </w:r>
          </w:p>
        </w:tc>
      </w:tr>
      <w:tr>
        <w:trPr>
          <w:cantSplit/>
        </w:trPr>
        <w:tc>
          <w:tcPr>
            <w:tcW w:type="dxa" w:w="1728"/>
            <w:tcMar>
              <w:top w:w="90" w:type="dxa"/>
              <w:start w:w="120" w:type="dxa"/>
              <w:bottom w:w="90" w:type="dxa"/>
              <w:end w:w="120" w:type="dxa"/>
            </w:tcMar>
            <w:vAlign w:val="center"/>
            <w:shd w:fill="F4F7FB"/>
          </w:tcPr>
          <w:p>
            <w:pPr>
              <w:spacing w:before="0" w:after="0" w:line="269" w:lineRule="auto"/>
              <w:jc w:val="center"/>
            </w:pPr>
            <w:r>
              <w:rPr>
                <w:b/>
              </w:rPr>
              <w:t>2</w:t>
            </w:r>
          </w:p>
        </w:tc>
        <w:tc>
          <w:tcPr>
            <w:tcW w:type="dxa" w:w="7344"/>
            <w:tcMar>
              <w:top w:w="90" w:type="dxa"/>
              <w:start w:w="120" w:type="dxa"/>
              <w:bottom w:w="90" w:type="dxa"/>
              <w:end w:w="120" w:type="dxa"/>
            </w:tcMar>
            <w:vAlign w:val="center"/>
          </w:tcPr>
          <w:p>
            <w:pPr>
              <w:spacing w:before="0" w:after="0" w:line="269" w:lineRule="auto"/>
            </w:pPr>
            <w:r>
              <w:t>If typical episodic TTH: start early with ibuprofen, aspirin, or paracetamol/acetaminophen, respecting contraindications and medication-overuse limits.</w:t>
            </w:r>
          </w:p>
        </w:tc>
      </w:tr>
      <w:tr>
        <w:trPr>
          <w:cantSplit/>
        </w:trPr>
        <w:tc>
          <w:tcPr>
            <w:tcW w:type="dxa" w:w="1728"/>
            <w:tcMar>
              <w:top w:w="90" w:type="dxa"/>
              <w:start w:w="120" w:type="dxa"/>
              <w:bottom w:w="90" w:type="dxa"/>
              <w:end w:w="120" w:type="dxa"/>
            </w:tcMar>
            <w:vAlign w:val="center"/>
            <w:shd w:fill="F4F7FB"/>
          </w:tcPr>
          <w:p>
            <w:pPr>
              <w:spacing w:before="0" w:after="0" w:line="269" w:lineRule="auto"/>
              <w:jc w:val="center"/>
            </w:pPr>
            <w:r>
              <w:rPr>
                <w:b/>
              </w:rPr>
              <w:t>3</w:t>
            </w:r>
          </w:p>
        </w:tc>
        <w:tc>
          <w:tcPr>
            <w:tcW w:type="dxa" w:w="7344"/>
            <w:tcMar>
              <w:top w:w="90" w:type="dxa"/>
              <w:start w:w="120" w:type="dxa"/>
              <w:bottom w:w="90" w:type="dxa"/>
              <w:end w:w="120" w:type="dxa"/>
            </w:tcMar>
            <w:vAlign w:val="center"/>
          </w:tcPr>
          <w:p>
            <w:pPr>
              <w:spacing w:before="0" w:after="0" w:line="269" w:lineRule="auto"/>
            </w:pPr>
            <w:r>
              <w:t>If inadequate response: switch to a different simple analgesic, or use a caffeine-containing combination in appropriate patients.</w:t>
            </w:r>
          </w:p>
        </w:tc>
      </w:tr>
      <w:tr>
        <w:trPr>
          <w:cantSplit/>
        </w:trPr>
        <w:tc>
          <w:tcPr>
            <w:tcW w:type="dxa" w:w="1728"/>
            <w:tcMar>
              <w:top w:w="90" w:type="dxa"/>
              <w:start w:w="120" w:type="dxa"/>
              <w:bottom w:w="90" w:type="dxa"/>
              <w:end w:w="120" w:type="dxa"/>
            </w:tcMar>
            <w:vAlign w:val="center"/>
            <w:shd w:fill="F4F7FB"/>
          </w:tcPr>
          <w:p>
            <w:pPr>
              <w:spacing w:before="0" w:after="0" w:line="269" w:lineRule="auto"/>
              <w:jc w:val="center"/>
            </w:pPr>
            <w:r>
              <w:rPr>
                <w:b/>
              </w:rPr>
              <w:t>4</w:t>
            </w:r>
          </w:p>
        </w:tc>
        <w:tc>
          <w:tcPr>
            <w:tcW w:type="dxa" w:w="7344"/>
            <w:tcMar>
              <w:top w:w="90" w:type="dxa"/>
              <w:start w:w="120" w:type="dxa"/>
              <w:bottom w:w="90" w:type="dxa"/>
              <w:end w:w="120" w:type="dxa"/>
            </w:tcMar>
            <w:vAlign w:val="center"/>
          </w:tcPr>
          <w:p>
            <w:pPr>
              <w:spacing w:before="0" w:after="0" w:line="269" w:lineRule="auto"/>
            </w:pPr>
            <w:r>
              <w:t>If headaches are frequent, prolonged, disabling, or medication use is escalating: start prevention. Use behavioural therapy and lifestyle management for most; add amitriptyline when pharmacologic prevention is required.</w:t>
            </w:r>
          </w:p>
        </w:tc>
      </w:tr>
      <w:tr>
        <w:trPr>
          <w:cantSplit/>
        </w:trPr>
        <w:tc>
          <w:tcPr>
            <w:tcW w:type="dxa" w:w="1728"/>
            <w:tcMar>
              <w:top w:w="90" w:type="dxa"/>
              <w:start w:w="120" w:type="dxa"/>
              <w:bottom w:w="90" w:type="dxa"/>
              <w:end w:w="120" w:type="dxa"/>
            </w:tcMar>
            <w:vAlign w:val="center"/>
            <w:shd w:fill="F4F7FB"/>
          </w:tcPr>
          <w:p>
            <w:pPr>
              <w:spacing w:before="0" w:after="0" w:line="269" w:lineRule="auto"/>
              <w:jc w:val="center"/>
            </w:pPr>
            <w:r>
              <w:rPr>
                <w:b/>
              </w:rPr>
              <w:t>5</w:t>
            </w:r>
          </w:p>
        </w:tc>
        <w:tc>
          <w:tcPr>
            <w:tcW w:type="dxa" w:w="7344"/>
            <w:tcMar>
              <w:top w:w="90" w:type="dxa"/>
              <w:start w:w="120" w:type="dxa"/>
              <w:bottom w:w="90" w:type="dxa"/>
              <w:end w:w="120" w:type="dxa"/>
            </w:tcMar>
            <w:vAlign w:val="center"/>
          </w:tcPr>
          <w:p>
            <w:pPr>
              <w:spacing w:before="0" w:after="0" w:line="269" w:lineRule="auto"/>
            </w:pPr>
            <w:r>
              <w:t>If chronic TTH or atypical/severe symptoms: reassess diagnosis, look specifically for migraine overlap and MOH, and investigate when red flags are present.</w:t>
            </w:r>
          </w:p>
        </w:tc>
      </w:tr>
    </w:tbl>
    <w:p>
      <w:pPr>
        <w:pStyle w:val="Heading1"/>
        <w:keepNext/>
      </w:pPr>
      <w:r>
        <w:t>8. Guideline comparison: NICE vs American vs European recommendations</w:t>
      </w:r>
    </w:p>
    <w:tbl>
      <w:tblPr>
        <w:tblW w:type="auto" w:w="0"/>
        <w:jc w:val="center"/>
        <w:tblLayout w:type="fixed"/>
        <w:tblLook w:firstColumn="1" w:firstRow="1" w:lastColumn="0" w:lastRow="0" w:noHBand="0" w:noVBand="1" w:val="04A0"/>
        <w:tblBorders>
          <w:top w:val="single" w:sz="8" w:space="0" w:color="D8E0EC"/>
          <w:left w:val="single" w:sz="8" w:space="0" w:color="D8E0EC"/>
          <w:bottom w:val="single" w:sz="8" w:space="0" w:color="D8E0EC"/>
          <w:right w:val="single" w:sz="8" w:space="0" w:color="D8E0EC"/>
          <w:insideH w:val="single" w:sz="8" w:space="0" w:color="D8E0EC"/>
          <w:insideV w:val="single" w:sz="8" w:space="0" w:color="D8E0EC"/>
        </w:tblBorders>
      </w:tblPr>
      <w:tblGrid>
        <w:gridCol w:w="2160"/>
        <w:gridCol w:w="2736"/>
        <w:gridCol w:w="2304"/>
        <w:gridCol w:w="2160"/>
      </w:tblGrid>
      <w:tr>
        <w:trPr>
          <w:tblHeader w:val="true"/>
        </w:trPr>
        <w:tc>
          <w:tcPr>
            <w:tcW w:type="dxa" w:w="2484"/>
            <w:shd w:fill="DCE8F5"/>
            <w:tcMar>
              <w:top w:w="90" w:type="dxa"/>
              <w:start w:w="100" w:type="dxa"/>
              <w:bottom w:w="90" w:type="dxa"/>
              <w:end w:w="100" w:type="dxa"/>
            </w:tcMar>
          </w:tcPr>
          <w:p>
            <w:r>
              <w:rPr>
                <w:b/>
                <w:color w:val="1F3A5F"/>
              </w:rPr>
              <w:t>Topic</w:t>
            </w:r>
          </w:p>
        </w:tc>
        <w:tc>
          <w:tcPr>
            <w:tcW w:type="dxa" w:w="2484"/>
            <w:shd w:fill="DCE8F5"/>
            <w:tcMar>
              <w:top w:w="90" w:type="dxa"/>
              <w:start w:w="100" w:type="dxa"/>
              <w:bottom w:w="90" w:type="dxa"/>
              <w:end w:w="100" w:type="dxa"/>
            </w:tcMar>
          </w:tcPr>
          <w:p>
            <w:r>
              <w:rPr>
                <w:b/>
                <w:color w:val="1F3A5F"/>
              </w:rPr>
              <w:t>NICE (UK)</w:t>
            </w:r>
          </w:p>
        </w:tc>
        <w:tc>
          <w:tcPr>
            <w:tcW w:type="dxa" w:w="2484"/>
            <w:shd w:fill="DCE8F5"/>
            <w:tcMar>
              <w:top w:w="90" w:type="dxa"/>
              <w:start w:w="100" w:type="dxa"/>
              <w:bottom w:w="90" w:type="dxa"/>
              <w:end w:w="100" w:type="dxa"/>
            </w:tcMar>
          </w:tcPr>
          <w:p>
            <w:r>
              <w:rPr>
                <w:b/>
                <w:color w:val="1F3A5F"/>
              </w:rPr>
              <w:t>American (VA/DoD)</w:t>
            </w:r>
          </w:p>
        </w:tc>
        <w:tc>
          <w:tcPr>
            <w:tcW w:type="dxa" w:w="2484"/>
            <w:shd w:fill="DCE8F5"/>
            <w:tcMar>
              <w:top w:w="90" w:type="dxa"/>
              <w:start w:w="100" w:type="dxa"/>
              <w:bottom w:w="90" w:type="dxa"/>
              <w:end w:w="100" w:type="dxa"/>
            </w:tcMar>
          </w:tcPr>
          <w:p>
            <w:r>
              <w:rPr>
                <w:b/>
                <w:color w:val="1F3A5F"/>
              </w:rPr>
              <w:t>European</w:t>
            </w:r>
          </w:p>
        </w:tc>
      </w:tr>
      <w:tr>
        <w:trPr>
          <w:cantSplit/>
        </w:trPr>
        <w:tc>
          <w:tcPr>
            <w:tcW w:type="dxa" w:w="2160"/>
            <w:tcMar>
              <w:top w:w="85" w:type="dxa"/>
              <w:start w:w="100" w:type="dxa"/>
              <w:bottom w:w="85" w:type="dxa"/>
              <w:end w:w="100" w:type="dxa"/>
            </w:tcMar>
            <w:vAlign w:val="center"/>
          </w:tcPr>
          <w:p>
            <w:pPr>
              <w:spacing w:before="0" w:after="0" w:line="264" w:lineRule="auto"/>
            </w:pPr>
            <w:r>
              <w:t>Diagnosis</w:t>
            </w:r>
          </w:p>
        </w:tc>
        <w:tc>
          <w:tcPr>
            <w:tcW w:type="dxa" w:w="2736"/>
            <w:tcMar>
              <w:top w:w="85" w:type="dxa"/>
              <w:start w:w="100" w:type="dxa"/>
              <w:bottom w:w="85" w:type="dxa"/>
              <w:end w:w="100" w:type="dxa"/>
            </w:tcMar>
            <w:vAlign w:val="center"/>
          </w:tcPr>
          <w:p>
            <w:pPr>
              <w:spacing w:before="0" w:after="0" w:line="264" w:lineRule="auto"/>
            </w:pPr>
            <w:r>
              <w:t>Use clinical features table; do not image solely for reassurance.</w:t>
            </w:r>
          </w:p>
        </w:tc>
        <w:tc>
          <w:tcPr>
            <w:tcW w:type="dxa" w:w="2304"/>
            <w:tcMar>
              <w:top w:w="85" w:type="dxa"/>
              <w:start w:w="100" w:type="dxa"/>
              <w:bottom w:w="85" w:type="dxa"/>
              <w:end w:w="100" w:type="dxa"/>
            </w:tcMar>
            <w:vAlign w:val="center"/>
          </w:tcPr>
          <w:p>
            <w:pPr>
              <w:spacing w:before="0" w:after="0" w:line="264" w:lineRule="auto"/>
            </w:pPr>
            <w:r>
              <w:t>Use clinical assessment and exclude secondary causes; no TTH-specific imaging mandate for typical cases.</w:t>
            </w:r>
          </w:p>
        </w:tc>
        <w:tc>
          <w:tcPr>
            <w:tcW w:type="dxa" w:w="2160"/>
            <w:tcMar>
              <w:top w:w="85" w:type="dxa"/>
              <w:start w:w="100" w:type="dxa"/>
              <w:bottom w:w="85" w:type="dxa"/>
              <w:end w:w="100" w:type="dxa"/>
            </w:tcMar>
            <w:vAlign w:val="center"/>
          </w:tcPr>
          <w:p>
            <w:pPr>
              <w:spacing w:before="0" w:after="0" w:line="264" w:lineRule="auto"/>
            </w:pPr>
            <w:r>
              <w:t>ICHD-3 diagnostic framing plus clinical exclusion of secondary causes.</w:t>
            </w:r>
          </w:p>
        </w:tc>
      </w:tr>
      <w:tr>
        <w:trPr>
          <w:cantSplit/>
        </w:trPr>
        <w:tc>
          <w:tcPr>
            <w:tcW w:type="dxa" w:w="2160"/>
            <w:tcMar>
              <w:top w:w="85" w:type="dxa"/>
              <w:start w:w="100" w:type="dxa"/>
              <w:bottom w:w="85" w:type="dxa"/>
              <w:end w:w="100" w:type="dxa"/>
            </w:tcMar>
            <w:vAlign w:val="center"/>
          </w:tcPr>
          <w:p>
            <w:pPr>
              <w:spacing w:before="0" w:after="0" w:line="264" w:lineRule="auto"/>
            </w:pPr>
            <w:r>
              <w:t>Acute first line</w:t>
            </w:r>
          </w:p>
        </w:tc>
        <w:tc>
          <w:tcPr>
            <w:tcW w:type="dxa" w:w="2736"/>
            <w:tcMar>
              <w:top w:w="85" w:type="dxa"/>
              <w:start w:w="100" w:type="dxa"/>
              <w:bottom w:w="85" w:type="dxa"/>
              <w:end w:w="100" w:type="dxa"/>
            </w:tcMar>
            <w:vAlign w:val="center"/>
          </w:tcPr>
          <w:p>
            <w:pPr>
              <w:spacing w:before="0" w:after="0" w:line="264" w:lineRule="auto"/>
            </w:pPr>
            <w:r>
              <w:t>Aspirin, paracetamol, or NSAID.</w:t>
            </w:r>
          </w:p>
        </w:tc>
        <w:tc>
          <w:tcPr>
            <w:tcW w:type="dxa" w:w="2304"/>
            <w:tcMar>
              <w:top w:w="85" w:type="dxa"/>
              <w:start w:w="100" w:type="dxa"/>
              <w:bottom w:w="85" w:type="dxa"/>
              <w:end w:w="100" w:type="dxa"/>
            </w:tcMar>
            <w:vAlign w:val="center"/>
          </w:tcPr>
          <w:p>
            <w:pPr>
              <w:spacing w:before="0" w:after="0" w:line="264" w:lineRule="auto"/>
            </w:pPr>
            <w:r>
              <w:t>Ibuprofen 400 mg or acetaminophen 1000 mg suggested.</w:t>
            </w:r>
          </w:p>
        </w:tc>
        <w:tc>
          <w:tcPr>
            <w:tcW w:type="dxa" w:w="2160"/>
            <w:tcMar>
              <w:top w:w="85" w:type="dxa"/>
              <w:start w:w="100" w:type="dxa"/>
              <w:bottom w:w="85" w:type="dxa"/>
              <w:end w:w="100" w:type="dxa"/>
            </w:tcMar>
            <w:vAlign w:val="center"/>
          </w:tcPr>
          <w:p>
            <w:pPr>
              <w:spacing w:before="0" w:after="0" w:line="264" w:lineRule="auto"/>
            </w:pPr>
            <w:r>
              <w:t>Simple analgesics/NSAIDs recommended for episodic TTH.</w:t>
            </w:r>
          </w:p>
        </w:tc>
      </w:tr>
      <w:tr>
        <w:trPr>
          <w:cantSplit/>
        </w:trPr>
        <w:tc>
          <w:tcPr>
            <w:tcW w:type="dxa" w:w="2160"/>
            <w:tcMar>
              <w:top w:w="85" w:type="dxa"/>
              <w:start w:w="100" w:type="dxa"/>
              <w:bottom w:w="85" w:type="dxa"/>
              <w:end w:w="100" w:type="dxa"/>
            </w:tcMar>
            <w:vAlign w:val="center"/>
          </w:tcPr>
          <w:p>
            <w:pPr>
              <w:spacing w:before="0" w:after="0" w:line="264" w:lineRule="auto"/>
            </w:pPr>
            <w:r>
              <w:t>Opioids</w:t>
            </w:r>
          </w:p>
        </w:tc>
        <w:tc>
          <w:tcPr>
            <w:tcW w:type="dxa" w:w="2736"/>
            <w:tcMar>
              <w:top w:w="85" w:type="dxa"/>
              <w:start w:w="100" w:type="dxa"/>
              <w:bottom w:w="85" w:type="dxa"/>
              <w:end w:w="100" w:type="dxa"/>
            </w:tcMar>
            <w:vAlign w:val="center"/>
          </w:tcPr>
          <w:p>
            <w:pPr>
              <w:spacing w:before="0" w:after="0" w:line="264" w:lineRule="auto"/>
            </w:pPr>
            <w:r>
              <w:t>Do not offer.</w:t>
            </w:r>
          </w:p>
        </w:tc>
        <w:tc>
          <w:tcPr>
            <w:tcW w:type="dxa" w:w="2304"/>
            <w:tcMar>
              <w:top w:w="85" w:type="dxa"/>
              <w:start w:w="100" w:type="dxa"/>
              <w:bottom w:w="85" w:type="dxa"/>
              <w:end w:w="100" w:type="dxa"/>
            </w:tcMar>
            <w:vAlign w:val="center"/>
          </w:tcPr>
          <w:p>
            <w:pPr>
              <w:spacing w:before="0" w:after="0" w:line="264" w:lineRule="auto"/>
            </w:pPr>
            <w:r>
              <w:t>Not part of recommended acute care for TTH.</w:t>
            </w:r>
          </w:p>
        </w:tc>
        <w:tc>
          <w:tcPr>
            <w:tcW w:type="dxa" w:w="2160"/>
            <w:tcMar>
              <w:top w:w="85" w:type="dxa"/>
              <w:start w:w="100" w:type="dxa"/>
              <w:bottom w:w="85" w:type="dxa"/>
              <w:end w:w="100" w:type="dxa"/>
            </w:tcMar>
            <w:vAlign w:val="center"/>
          </w:tcPr>
          <w:p>
            <w:pPr>
              <w:spacing w:before="0" w:after="0" w:line="264" w:lineRule="auto"/>
            </w:pPr>
            <w:r>
              <w:t>Should not be used.</w:t>
            </w:r>
          </w:p>
        </w:tc>
      </w:tr>
      <w:tr>
        <w:trPr>
          <w:cantSplit/>
        </w:trPr>
        <w:tc>
          <w:tcPr>
            <w:tcW w:type="dxa" w:w="2160"/>
            <w:tcMar>
              <w:top w:w="85" w:type="dxa"/>
              <w:start w:w="100" w:type="dxa"/>
              <w:bottom w:w="85" w:type="dxa"/>
              <w:end w:w="100" w:type="dxa"/>
            </w:tcMar>
            <w:vAlign w:val="center"/>
          </w:tcPr>
          <w:p>
            <w:pPr>
              <w:spacing w:before="0" w:after="0" w:line="264" w:lineRule="auto"/>
            </w:pPr>
            <w:r>
              <w:t>Chronic TTH prevention</w:t>
            </w:r>
          </w:p>
        </w:tc>
        <w:tc>
          <w:tcPr>
            <w:tcW w:type="dxa" w:w="2736"/>
            <w:tcMar>
              <w:top w:w="85" w:type="dxa"/>
              <w:start w:w="100" w:type="dxa"/>
              <w:bottom w:w="85" w:type="dxa"/>
              <w:end w:w="100" w:type="dxa"/>
            </w:tcMar>
            <w:vAlign w:val="center"/>
          </w:tcPr>
          <w:p>
            <w:pPr>
              <w:spacing w:before="0" w:after="0" w:line="264" w:lineRule="auto"/>
            </w:pPr>
            <w:r>
              <w:t>Acupuncture (up to 10 sessions over 5–8 weeks) may be considered.</w:t>
            </w:r>
          </w:p>
        </w:tc>
        <w:tc>
          <w:tcPr>
            <w:tcW w:type="dxa" w:w="2304"/>
            <w:tcMar>
              <w:top w:w="85" w:type="dxa"/>
              <w:start w:w="100" w:type="dxa"/>
              <w:bottom w:w="85" w:type="dxa"/>
              <w:end w:w="100" w:type="dxa"/>
            </w:tcMar>
            <w:vAlign w:val="center"/>
          </w:tcPr>
          <w:p>
            <w:pPr>
              <w:spacing w:before="0" w:after="0" w:line="264" w:lineRule="auto"/>
            </w:pPr>
            <w:r>
              <w:t>Amitriptyline suggested for chronic TTH; PT or aerobic exercise can be used.</w:t>
            </w:r>
          </w:p>
        </w:tc>
        <w:tc>
          <w:tcPr>
            <w:tcW w:type="dxa" w:w="2160"/>
            <w:tcMar>
              <w:top w:w="85" w:type="dxa"/>
              <w:start w:w="100" w:type="dxa"/>
              <w:bottom w:w="85" w:type="dxa"/>
              <w:end w:w="100" w:type="dxa"/>
            </w:tcMar>
            <w:vAlign w:val="center"/>
          </w:tcPr>
          <w:p>
            <w:pPr>
              <w:spacing w:before="0" w:after="0" w:line="264" w:lineRule="auto"/>
            </w:pPr>
            <w:r>
              <w:t>Amitriptyline remains first-choice pharmacologic preventive; caffeine combinations are second-choice acute options.</w:t>
            </w:r>
          </w:p>
        </w:tc>
      </w:tr>
      <w:tr>
        <w:trPr>
          <w:cantSplit/>
        </w:trPr>
        <w:tc>
          <w:tcPr>
            <w:tcW w:type="dxa" w:w="2160"/>
            <w:tcMar>
              <w:top w:w="85" w:type="dxa"/>
              <w:start w:w="100" w:type="dxa"/>
              <w:bottom w:w="85" w:type="dxa"/>
              <w:end w:w="100" w:type="dxa"/>
            </w:tcMar>
            <w:vAlign w:val="center"/>
          </w:tcPr>
          <w:p>
            <w:pPr>
              <w:spacing w:before="0" w:after="0" w:line="264" w:lineRule="auto"/>
            </w:pPr>
            <w:r>
              <w:t>Botulinum toxin</w:t>
            </w:r>
          </w:p>
        </w:tc>
        <w:tc>
          <w:tcPr>
            <w:tcW w:type="dxa" w:w="2736"/>
            <w:tcMar>
              <w:top w:w="85" w:type="dxa"/>
              <w:start w:w="100" w:type="dxa"/>
              <w:bottom w:w="85" w:type="dxa"/>
              <w:end w:w="100" w:type="dxa"/>
            </w:tcMar>
            <w:vAlign w:val="center"/>
          </w:tcPr>
          <w:p>
            <w:pPr>
              <w:spacing w:before="0" w:after="0" w:line="264" w:lineRule="auto"/>
            </w:pPr>
            <w:r>
              <w:t>No routine TTH role.</w:t>
            </w:r>
          </w:p>
        </w:tc>
        <w:tc>
          <w:tcPr>
            <w:tcW w:type="dxa" w:w="2304"/>
            <w:tcMar>
              <w:top w:w="85" w:type="dxa"/>
              <w:start w:w="100" w:type="dxa"/>
              <w:bottom w:w="85" w:type="dxa"/>
              <w:end w:w="100" w:type="dxa"/>
            </w:tcMar>
            <w:vAlign w:val="center"/>
          </w:tcPr>
          <w:p>
            <w:pPr>
              <w:spacing w:before="0" w:after="0" w:line="264" w:lineRule="auto"/>
            </w:pPr>
            <w:r>
              <w:t>Suggested against for chronic TTH.</w:t>
            </w:r>
          </w:p>
        </w:tc>
        <w:tc>
          <w:tcPr>
            <w:tcW w:type="dxa" w:w="2160"/>
            <w:tcMar>
              <w:top w:w="85" w:type="dxa"/>
              <w:start w:w="100" w:type="dxa"/>
              <w:bottom w:w="85" w:type="dxa"/>
              <w:end w:w="100" w:type="dxa"/>
            </w:tcMar>
            <w:vAlign w:val="center"/>
          </w:tcPr>
          <w:p>
            <w:pPr>
              <w:spacing w:before="0" w:after="0" w:line="264" w:lineRule="auto"/>
            </w:pPr>
            <w:r>
              <w:t>Evidence uncertain; not standard care.</w:t>
            </w:r>
          </w:p>
        </w:tc>
      </w:tr>
    </w:tbl>
    <w:p>
      <w:r>
        <w:t>Interpretation: all three sources support simple analgesics as first-line acute therapy, advise against routine opioid use, and place the greatest pharmacologic preventive emphasis on amitriptyline for chronic TTH. NICE is more explicit than the U.S. and European sources in recommending acupuncture for chronic TTH. The latest dedicated pan-European TTH treatment guideline still appears to be the EFNS guidance; newer European publications mainly update evidence rather than replace that formal guidance.</w:t>
      </w:r>
    </w:p>
    <w:p>
      <w:pPr>
        <w:pStyle w:val="Heading1"/>
        <w:keepNext/>
      </w:pPr>
      <w:r>
        <w:t>9. Key prescribing cautions</w:t>
      </w:r>
    </w:p>
    <w:p>
      <w:pPr>
        <w:spacing w:before="0" w:after="40" w:line="269" w:lineRule="auto"/>
        <w:ind w:left="0" w:hanging="230"/>
      </w:pPr>
      <w:r>
        <w:rPr>
          <w:b/>
        </w:rPr>
        <w:t xml:space="preserve">• </w:t>
      </w:r>
      <w:r>
        <w:t>Always screen for medication-overuse headache in chronic or near-daily headache.</w:t>
      </w:r>
    </w:p>
    <w:p>
      <w:pPr>
        <w:spacing w:before="0" w:after="40" w:line="269" w:lineRule="auto"/>
        <w:ind w:left="0" w:hanging="230"/>
      </w:pPr>
      <w:r>
        <w:rPr>
          <w:b/>
        </w:rPr>
        <w:t xml:space="preserve">• </w:t>
      </w:r>
      <w:r>
        <w:t>Avoid serial escalation of analgesics without revisiting the diagnosis.</w:t>
      </w:r>
    </w:p>
    <w:p>
      <w:pPr>
        <w:spacing w:before="0" w:after="40" w:line="269" w:lineRule="auto"/>
        <w:ind w:left="0" w:hanging="230"/>
      </w:pPr>
      <w:r>
        <w:rPr>
          <w:b/>
        </w:rPr>
        <w:t xml:space="preserve">• </w:t>
      </w:r>
      <w:r>
        <w:t>Check cardiovascular, gastrointestinal, renal, hepatic, and pregnancy considerations before advising acute therapy.</w:t>
      </w:r>
    </w:p>
    <w:p>
      <w:pPr>
        <w:spacing w:before="0" w:after="40" w:line="269" w:lineRule="auto"/>
        <w:ind w:left="0" w:hanging="230"/>
      </w:pPr>
      <w:r>
        <w:rPr>
          <w:b/>
        </w:rPr>
        <w:t xml:space="preserve">• </w:t>
      </w:r>
      <w:r>
        <w:t>Before tricyclic therapy, assess for conduction disease; obtain baseline ECG in older adults or when cardiac risk/history is present.</w:t>
      </w:r>
    </w:p>
    <w:p>
      <w:pPr>
        <w:spacing w:before="0" w:after="40" w:line="269" w:lineRule="auto"/>
        <w:ind w:left="0" w:hanging="230"/>
      </w:pPr>
      <w:r>
        <w:rPr>
          <w:b/>
        </w:rPr>
        <w:t xml:space="preserve">• </w:t>
      </w:r>
      <w:r>
        <w:t>In apparent chronic TTH with any migrainous features, manage as chronic migraine rather than forcing a pure TTH label.</w:t>
      </w:r>
    </w:p>
    <w:p>
      <w:pPr>
        <w:pStyle w:val="Heading1"/>
        <w:keepNext/>
      </w:pPr>
      <w:r>
        <w:t>10. Selected references</w:t>
      </w:r>
    </w:p>
    <w:p>
      <w:pPr>
        <w:spacing w:before="0" w:after="40" w:line="269" w:lineRule="auto"/>
      </w:pPr>
      <w:r>
        <w:rPr>
          <w:b/>
        </w:rPr>
        <w:t xml:space="preserve">• </w:t>
      </w:r>
      <w:r>
        <w:t>National Institute for Health and Care Excellence (NICE). Headaches in over 12s: diagnosis and management (CG150). Updated 3 June 2025.</w:t>
      </w:r>
    </w:p>
    <w:p>
      <w:pPr>
        <w:spacing w:before="0" w:after="40" w:line="269" w:lineRule="auto"/>
      </w:pPr>
      <w:r>
        <w:rPr>
          <w:b/>
        </w:rPr>
        <w:t xml:space="preserve">• </w:t>
      </w:r>
      <w:r>
        <w:t>Sico JJ, Antonovich NM, Ballard-Hernandez J, et al. 2023 U.S. Department of Veterans Affairs and U.S. Department of Defense Clinical Practice Guideline for the Management of Headache. Ann Intern Med. Published 29 October 2024.</w:t>
      </w:r>
    </w:p>
    <w:p>
      <w:pPr>
        <w:spacing w:before="0" w:after="40" w:line="269" w:lineRule="auto"/>
      </w:pPr>
      <w:r>
        <w:rPr>
          <w:b/>
        </w:rPr>
        <w:t xml:space="preserve">• </w:t>
      </w:r>
      <w:r>
        <w:t>Bendtsen L, Evers S, Linde M, et al. EFNS guideline on the treatment of tension-type headache. Eur J Neurol. 2010;17:e99-e102.</w:t>
      </w:r>
    </w:p>
    <w:p>
      <w:pPr>
        <w:spacing w:before="0" w:after="40" w:line="269" w:lineRule="auto"/>
      </w:pPr>
      <w:r>
        <w:rPr>
          <w:b/>
        </w:rPr>
        <w:t xml:space="preserve">• </w:t>
      </w:r>
      <w:r>
        <w:t>International Headache Society. ICHD-3 online classification: tension-type headache.</w:t>
      </w:r>
    </w:p>
    <w:p>
      <w:pPr>
        <w:spacing w:before="0" w:after="40" w:line="269" w:lineRule="auto"/>
      </w:pPr>
      <w:r>
        <w:rPr>
          <w:b/>
        </w:rPr>
        <w:t xml:space="preserve">• </w:t>
      </w:r>
      <w:r>
        <w:t>Lee HJ, Lee JH, Cho EY, et al. Update on Tension-type Headache. Headache Pain Res. 2025;26(1):38-47.</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44A7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color w:val="5B657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