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Trigeminal Neuralgia in Adults</w:t>
      </w:r>
    </w:p>
    <w:p>
      <w:pPr>
        <w:spacing w:after="240"/>
      </w:pPr>
      <w:r>
        <w:rPr>
          <w:b w:val="0"/>
          <w:i/>
          <w:sz w:val="20"/>
        </w:rPr>
        <w:t>Holistic evidence-based guidance integrating current UK NICE/CKS practice, UK multidisciplinary guidance, European Academy of Neurology guidance, and the American Academy of Neurology guideline (reaffirmed 2024).</w:t>
      </w:r>
    </w:p>
    <w:p>
      <w:pPr>
        <w:spacing w:after="240"/>
      </w:pPr>
      <w:r>
        <w:rPr>
          <w:b w:val="0"/>
          <w:i w:val="0"/>
        </w:rPr>
        <w:t>Scope and caveat. This clinician-facing document is a practical standalone summary for adult trigeminal neuralgia (TN). It is designed for day-to-day assessment, imaging, prescribing, referral, and follow-up. It is not a substitute for full product information, BNF/MHRA safety advice, local formulary rules, or specialist multidisciplinary review.</w:t>
      </w:r>
    </w:p>
    <w:p>
      <w:pPr>
        <w:pStyle w:val="Heading1"/>
      </w:pPr>
      <w:r>
        <w:rPr>
          <w:b w:val="0"/>
          <w:i w:val="0"/>
        </w:rPr>
        <w:t>Key practice points</w:t>
      </w:r>
    </w:p>
    <w:p>
      <w:pPr>
        <w:pStyle w:val="ListBullet"/>
      </w:pPr>
      <w:r>
        <w:rPr>
          <w:rFonts w:ascii="Arial" w:hAnsi="Arial"/>
          <w:sz w:val="21"/>
        </w:rPr>
        <w:t>Trigeminal neuralgia is usually a clinical diagnosis: recurrent unilateral electric shock-like pain, lasting a fraction of a second to 2 minutes, in one or more trigeminal divisions, typically triggered by innocuous stimuli.</w:t>
      </w:r>
    </w:p>
    <w:p>
      <w:pPr>
        <w:pStyle w:val="ListBullet"/>
      </w:pPr>
      <w:r>
        <w:rPr>
          <w:rFonts w:ascii="Arial" w:hAnsi="Arial"/>
          <w:sz w:val="21"/>
        </w:rPr>
        <w:t>All patients with suspected trigeminal neuralgia should have specialist assessment and MRI-based evaluation to exclude a secondary cause and to identify neurovascular compression where possible.</w:t>
      </w:r>
    </w:p>
    <w:p>
      <w:pPr>
        <w:pStyle w:val="ListBullet"/>
      </w:pPr>
      <w:r>
        <w:rPr>
          <w:rFonts w:ascii="Arial" w:hAnsi="Arial"/>
          <w:sz w:val="21"/>
        </w:rPr>
        <w:t>Carbamazepine remains the key licensed first-line medicine in UK practice; oxcarbazepine is an accepted alternative and is often better tolerated.</w:t>
      </w:r>
    </w:p>
    <w:p>
      <w:pPr>
        <w:pStyle w:val="ListBullet"/>
      </w:pPr>
      <w:r>
        <w:rPr>
          <w:rFonts w:ascii="Arial" w:hAnsi="Arial"/>
          <w:sz w:val="21"/>
        </w:rPr>
        <w:t>If first-line therapy is ineffective or poorly tolerated, early specialist referral is appropriate rather than prolonged uncontrolled escalation in primary care.</w:t>
      </w:r>
    </w:p>
    <w:p>
      <w:pPr>
        <w:pStyle w:val="ListBullet"/>
      </w:pPr>
      <w:r>
        <w:rPr>
          <w:rFonts w:ascii="Arial" w:hAnsi="Arial"/>
          <w:sz w:val="21"/>
        </w:rPr>
        <w:t>Patients with classical trigeminal neuralgia and demonstrated neurovascular compression should be offered discussion of microvascular decompression if medically fit and willing, because it offers the best chance of durable pain freedom.</w:t>
      </w:r>
    </w:p>
    <w:p>
      <w:pPr>
        <w:pStyle w:val="ListBullet"/>
      </w:pPr>
      <w:r>
        <w:rPr>
          <w:rFonts w:ascii="Arial" w:hAnsi="Arial"/>
          <w:sz w:val="21"/>
        </w:rPr>
        <w:t>Opioids are not indicated for routine trigeminal neuralgia management.</w:t>
      </w:r>
    </w:p>
    <w:p>
      <w:pPr>
        <w:pStyle w:val="ListBullet"/>
      </w:pPr>
      <w:r>
        <w:rPr>
          <w:rFonts w:ascii="Arial" w:hAnsi="Arial"/>
          <w:sz w:val="21"/>
        </w:rPr>
        <w:t>Pain diaries, psychological support, medication counselling, and clear relapse plans are part of good care, not optional extras.</w:t>
      </w:r>
    </w:p>
    <w:p>
      <w:pPr>
        <w:pStyle w:val="Heading1"/>
      </w:pPr>
      <w:r>
        <w:rPr>
          <w:b w:val="0"/>
          <w:i w:val="0"/>
        </w:rPr>
        <w:t>1. Definitions, classification, and pathophysiology</w:t>
      </w:r>
    </w:p>
    <w:p>
      <w:pPr/>
      <w:r>
        <w:rPr>
          <w:b w:val="0"/>
          <w:i w:val="0"/>
        </w:rPr>
        <w:t>TN is a neuropathic facial pain syndrome characterised by brief, severe, shock-like unilateral facial pain in the distribution of the trigeminal nerve. The core mechanism in most cases is focal demyelination and hyperexcitability, usually caused by vascular compression at the trigeminal root entry zone. A smaller proportion is caused by structural lesions such as tumours, vascular malformations, or demyelinating disease such as multiple sclerosis. A further minority remains idiopathic when no definite cause is identified despite appropriate imaging.</w:t>
      </w:r>
    </w:p>
    <w:p>
      <w:pPr>
        <w:pStyle w:val="Heading2"/>
      </w:pPr>
      <w:r>
        <w:rPr>
          <w:b w:val="0"/>
          <w:i w:val="0"/>
        </w:rPr>
        <w:t>Current classification used in practice</w:t>
      </w:r>
    </w:p>
    <w:p>
      <w:pPr>
        <w:pStyle w:val="ListBullet"/>
      </w:pPr>
      <w:r>
        <w:rPr>
          <w:rFonts w:ascii="Arial" w:hAnsi="Arial"/>
          <w:sz w:val="21"/>
        </w:rPr>
        <w:t>Classical TN – trigeminal neuralgia due to neurovascular compression with morphological change of the nerve on imaging or at surgery.</w:t>
      </w:r>
    </w:p>
    <w:p>
      <w:pPr>
        <w:pStyle w:val="ListBullet"/>
      </w:pPr>
      <w:r>
        <w:rPr>
          <w:rFonts w:ascii="Arial" w:hAnsi="Arial"/>
          <w:sz w:val="21"/>
        </w:rPr>
        <w:t>Secondary TN – trigeminal neuralgia caused by another structural lesion, for example multiple sclerosis plaque, cerebellopontine angle tumour, or vascular malformation.</w:t>
      </w:r>
    </w:p>
    <w:p>
      <w:pPr>
        <w:pStyle w:val="ListBullet"/>
      </w:pPr>
      <w:r>
        <w:rPr>
          <w:rFonts w:ascii="Arial" w:hAnsi="Arial"/>
          <w:sz w:val="21"/>
        </w:rPr>
        <w:t>Idiopathic TN – clinical TN without a clear structural explanation on imaging or other diagnostic testing.</w:t>
      </w:r>
    </w:p>
    <w:p>
      <w:pPr/>
      <w:r>
        <w:rPr>
          <w:b w:val="0"/>
          <w:i w:val="0"/>
        </w:rPr>
        <w:t>The pain most commonly involves the maxillary (V2) and/or mandibular (V3) divisions. Isolated V1 disease is uncommon and should raise the threshold for assuming straightforward classical TN.</w:t>
      </w:r>
    </w:p>
    <w:p>
      <w:pPr>
        <w:pStyle w:val="Heading1"/>
      </w:pPr>
      <w:r>
        <w:rPr>
          <w:b w:val="0"/>
          <w:i w:val="0"/>
        </w:rPr>
        <w:t>2. Clinical presentation and positive diagnosis</w:t>
      </w:r>
    </w:p>
    <w:p>
      <w:pPr>
        <w:pStyle w:val="Heading2"/>
      </w:pPr>
      <w:r>
        <w:rPr>
          <w:b w:val="0"/>
          <w:i w:val="0"/>
        </w:rPr>
        <w:t>Positive diagnostic features</w:t>
      </w:r>
    </w:p>
    <w:tbl>
      <w:tblPr>
        <w:tblStyle w:val="TableGrid"/>
        <w:tblW w:type="auto" w:w="0"/>
        <w:jc w:val="center"/>
        <w:tblLook w:firstColumn="1" w:firstRow="1" w:lastColumn="0" w:lastRow="0" w:noHBand="0" w:noVBand="1" w:val="04A0"/>
      </w:tblPr>
      <w:tblGrid>
        <w:gridCol w:w="3168"/>
        <w:gridCol w:w="6768"/>
      </w:tblGrid>
      <w:tr>
        <w:trPr>
          <w:tblHeader w:val="true"/>
        </w:trPr>
        <w:tc>
          <w:tcPr>
            <w:tcW w:type="dxa" w:w="4986"/>
            <w:vAlign w:val="center"/>
            <w:tcMar>
              <w:top w:w="80" w:type="dxa"/>
              <w:start w:w="90" w:type="dxa"/>
              <w:bottom w:w="80" w:type="dxa"/>
              <w:end w:w="90" w:type="dxa"/>
            </w:tcMar>
            <w:shd w:fill="D9E8F5"/>
          </w:tcPr>
          <w:p>
            <w:pPr>
              <w:spacing w:before="40" w:after="40" w:line="252" w:lineRule="auto"/>
            </w:pPr>
            <w:r>
              <w:rPr>
                <w:rFonts w:ascii="Arial" w:hAnsi="Arial"/>
                <w:b/>
                <w:sz w:val="19"/>
              </w:rPr>
              <w:t>Feature</w:t>
            </w:r>
          </w:p>
        </w:tc>
        <w:tc>
          <w:tcPr>
            <w:tcW w:type="dxa" w:w="4986"/>
            <w:vAlign w:val="center"/>
            <w:tcMar>
              <w:top w:w="80" w:type="dxa"/>
              <w:start w:w="90" w:type="dxa"/>
              <w:bottom w:w="80" w:type="dxa"/>
              <w:end w:w="90" w:type="dxa"/>
            </w:tcMar>
            <w:shd w:fill="D9E8F5"/>
          </w:tcPr>
          <w:p>
            <w:pPr>
              <w:spacing w:before="40" w:after="40" w:line="252" w:lineRule="auto"/>
            </w:pPr>
            <w:r>
              <w:rPr>
                <w:rFonts w:ascii="Arial" w:hAnsi="Arial"/>
                <w:b/>
                <w:sz w:val="19"/>
              </w:rPr>
              <w:t>Typical trigeminal neuralgia pattern</w:t>
            </w:r>
          </w:p>
        </w:tc>
      </w:tr>
      <w:tr>
        <w:tc>
          <w:tcPr>
            <w:tcW w:type="dxa" w:w="3168"/>
            <w:vAlign w:val="center"/>
            <w:tcMar>
              <w:top w:w="80" w:type="dxa"/>
              <w:start w:w="90" w:type="dxa"/>
              <w:bottom w:w="80" w:type="dxa"/>
              <w:end w:w="90" w:type="dxa"/>
            </w:tcMar>
          </w:tcPr>
          <w:p>
            <w:pPr>
              <w:spacing w:before="40" w:after="40" w:line="252" w:lineRule="auto"/>
            </w:pPr>
            <w:r>
              <w:rPr>
                <w:rFonts w:ascii="Arial" w:hAnsi="Arial"/>
                <w:sz w:val="19"/>
              </w:rPr>
              <w:t>Pain quality</w:t>
            </w:r>
          </w:p>
        </w:tc>
        <w:tc>
          <w:tcPr>
            <w:tcW w:type="dxa" w:w="6768"/>
            <w:vAlign w:val="center"/>
            <w:tcMar>
              <w:top w:w="80" w:type="dxa"/>
              <w:start w:w="90" w:type="dxa"/>
              <w:bottom w:w="80" w:type="dxa"/>
              <w:end w:w="90" w:type="dxa"/>
            </w:tcMar>
          </w:tcPr>
          <w:p>
            <w:pPr>
              <w:spacing w:before="40" w:after="40" w:line="252" w:lineRule="auto"/>
            </w:pPr>
            <w:r>
              <w:rPr>
                <w:rFonts w:ascii="Arial" w:hAnsi="Arial"/>
                <w:sz w:val="19"/>
              </w:rPr>
              <w:t>Electric shock-like, stabbing, sharp, or shooting; maximal at onset.</w:t>
            </w:r>
          </w:p>
        </w:tc>
      </w:tr>
      <w:tr>
        <w:tc>
          <w:tcPr>
            <w:tcW w:type="dxa" w:w="3168"/>
            <w:vAlign w:val="center"/>
            <w:tcMar>
              <w:top w:w="80" w:type="dxa"/>
              <w:start w:w="90" w:type="dxa"/>
              <w:bottom w:w="80" w:type="dxa"/>
              <w:end w:w="90" w:type="dxa"/>
            </w:tcMar>
            <w:shd w:fill="F7FAFC"/>
          </w:tcPr>
          <w:p>
            <w:pPr>
              <w:spacing w:before="40" w:after="40" w:line="252" w:lineRule="auto"/>
            </w:pPr>
            <w:r>
              <w:rPr>
                <w:rFonts w:ascii="Arial" w:hAnsi="Arial"/>
                <w:sz w:val="19"/>
              </w:rPr>
              <w:t>Attack duration</w:t>
            </w:r>
          </w:p>
        </w:tc>
        <w:tc>
          <w:tcPr>
            <w:tcW w:type="dxa" w:w="6768"/>
            <w:vAlign w:val="center"/>
            <w:tcMar>
              <w:top w:w="80" w:type="dxa"/>
              <w:start w:w="90" w:type="dxa"/>
              <w:bottom w:w="80" w:type="dxa"/>
              <w:end w:w="90" w:type="dxa"/>
            </w:tcMar>
            <w:shd w:fill="F7FAFC"/>
          </w:tcPr>
          <w:p>
            <w:pPr>
              <w:spacing w:before="40" w:after="40" w:line="252" w:lineRule="auto"/>
            </w:pPr>
            <w:r>
              <w:rPr>
                <w:rFonts w:ascii="Arial" w:hAnsi="Arial"/>
                <w:sz w:val="19"/>
              </w:rPr>
              <w:t>Usually a fraction of a second to 2 minutes.</w:t>
            </w:r>
          </w:p>
        </w:tc>
      </w:tr>
      <w:tr>
        <w:tc>
          <w:tcPr>
            <w:tcW w:type="dxa" w:w="3168"/>
            <w:vAlign w:val="center"/>
            <w:tcMar>
              <w:top w:w="80" w:type="dxa"/>
              <w:start w:w="90" w:type="dxa"/>
              <w:bottom w:w="80" w:type="dxa"/>
              <w:end w:w="90" w:type="dxa"/>
            </w:tcMar>
          </w:tcPr>
          <w:p>
            <w:pPr>
              <w:spacing w:before="40" w:after="40" w:line="252" w:lineRule="auto"/>
            </w:pPr>
            <w:r>
              <w:rPr>
                <w:rFonts w:ascii="Arial" w:hAnsi="Arial"/>
                <w:sz w:val="19"/>
              </w:rPr>
              <w:t>Distribution</w:t>
            </w:r>
          </w:p>
        </w:tc>
        <w:tc>
          <w:tcPr>
            <w:tcW w:type="dxa" w:w="6768"/>
            <w:vAlign w:val="center"/>
            <w:tcMar>
              <w:top w:w="80" w:type="dxa"/>
              <w:start w:w="90" w:type="dxa"/>
              <w:bottom w:w="80" w:type="dxa"/>
              <w:end w:w="90" w:type="dxa"/>
            </w:tcMar>
          </w:tcPr>
          <w:p>
            <w:pPr>
              <w:spacing w:before="40" w:after="40" w:line="252" w:lineRule="auto"/>
            </w:pPr>
            <w:r>
              <w:rPr>
                <w:rFonts w:ascii="Arial" w:hAnsi="Arial"/>
                <w:sz w:val="19"/>
              </w:rPr>
              <w:t>Strictly within one or more trigeminal divisions; most often V2 and/or V3.</w:t>
            </w:r>
          </w:p>
        </w:tc>
      </w:tr>
      <w:tr>
        <w:tc>
          <w:tcPr>
            <w:tcW w:type="dxa" w:w="3168"/>
            <w:vAlign w:val="center"/>
            <w:tcMar>
              <w:top w:w="80" w:type="dxa"/>
              <w:start w:w="90" w:type="dxa"/>
              <w:bottom w:w="80" w:type="dxa"/>
              <w:end w:w="90" w:type="dxa"/>
            </w:tcMar>
            <w:shd w:fill="F7FAFC"/>
          </w:tcPr>
          <w:p>
            <w:pPr>
              <w:spacing w:before="40" w:after="40" w:line="252" w:lineRule="auto"/>
            </w:pPr>
            <w:r>
              <w:rPr>
                <w:rFonts w:ascii="Arial" w:hAnsi="Arial"/>
                <w:sz w:val="19"/>
              </w:rPr>
              <w:t>Laterality</w:t>
            </w:r>
          </w:p>
        </w:tc>
        <w:tc>
          <w:tcPr>
            <w:tcW w:type="dxa" w:w="6768"/>
            <w:vAlign w:val="center"/>
            <w:tcMar>
              <w:top w:w="80" w:type="dxa"/>
              <w:start w:w="90" w:type="dxa"/>
              <w:bottom w:w="80" w:type="dxa"/>
              <w:end w:w="90" w:type="dxa"/>
            </w:tcMar>
            <w:shd w:fill="F7FAFC"/>
          </w:tcPr>
          <w:p>
            <w:pPr>
              <w:spacing w:before="40" w:after="40" w:line="252" w:lineRule="auto"/>
            </w:pPr>
            <w:r>
              <w:rPr>
                <w:rFonts w:ascii="Arial" w:hAnsi="Arial"/>
                <w:sz w:val="19"/>
              </w:rPr>
              <w:t>Usually unilateral; bilateral disease is unusual and increases concern for a secondary cause.</w:t>
            </w:r>
          </w:p>
        </w:tc>
      </w:tr>
      <w:tr>
        <w:tc>
          <w:tcPr>
            <w:tcW w:type="dxa" w:w="3168"/>
            <w:vAlign w:val="center"/>
            <w:tcMar>
              <w:top w:w="80" w:type="dxa"/>
              <w:start w:w="90" w:type="dxa"/>
              <w:bottom w:w="80" w:type="dxa"/>
              <w:end w:w="90" w:type="dxa"/>
            </w:tcMar>
          </w:tcPr>
          <w:p>
            <w:pPr>
              <w:spacing w:before="40" w:after="40" w:line="252" w:lineRule="auto"/>
            </w:pPr>
            <w:r>
              <w:rPr>
                <w:rFonts w:ascii="Arial" w:hAnsi="Arial"/>
                <w:sz w:val="19"/>
              </w:rPr>
              <w:t>Triggers</w:t>
            </w:r>
          </w:p>
        </w:tc>
        <w:tc>
          <w:tcPr>
            <w:tcW w:type="dxa" w:w="6768"/>
            <w:vAlign w:val="center"/>
            <w:tcMar>
              <w:top w:w="80" w:type="dxa"/>
              <w:start w:w="90" w:type="dxa"/>
              <w:bottom w:w="80" w:type="dxa"/>
              <w:end w:w="90" w:type="dxa"/>
            </w:tcMar>
          </w:tcPr>
          <w:p>
            <w:pPr>
              <w:spacing w:before="40" w:after="40" w:line="252" w:lineRule="auto"/>
            </w:pPr>
            <w:r>
              <w:rPr>
                <w:rFonts w:ascii="Arial" w:hAnsi="Arial"/>
                <w:sz w:val="19"/>
              </w:rPr>
              <w:t>Light touch, face washing, talking, chewing, brushing teeth, smiling, cold wind, or other innocuous stimuli.</w:t>
            </w:r>
          </w:p>
        </w:tc>
      </w:tr>
      <w:tr>
        <w:tc>
          <w:tcPr>
            <w:tcW w:type="dxa" w:w="3168"/>
            <w:vAlign w:val="center"/>
            <w:tcMar>
              <w:top w:w="80" w:type="dxa"/>
              <w:start w:w="90" w:type="dxa"/>
              <w:bottom w:w="80" w:type="dxa"/>
              <w:end w:w="90" w:type="dxa"/>
            </w:tcMar>
            <w:shd w:fill="F7FAFC"/>
          </w:tcPr>
          <w:p>
            <w:pPr>
              <w:spacing w:before="40" w:after="40" w:line="252" w:lineRule="auto"/>
            </w:pPr>
            <w:r>
              <w:rPr>
                <w:rFonts w:ascii="Arial" w:hAnsi="Arial"/>
                <w:sz w:val="19"/>
              </w:rPr>
              <w:t>Pattern</w:t>
            </w:r>
          </w:p>
        </w:tc>
        <w:tc>
          <w:tcPr>
            <w:tcW w:type="dxa" w:w="6768"/>
            <w:vAlign w:val="center"/>
            <w:tcMar>
              <w:top w:w="80" w:type="dxa"/>
              <w:start w:w="90" w:type="dxa"/>
              <w:bottom w:w="80" w:type="dxa"/>
              <w:end w:w="90" w:type="dxa"/>
            </w:tcMar>
            <w:shd w:fill="F7FAFC"/>
          </w:tcPr>
          <w:p>
            <w:pPr>
              <w:spacing w:before="40" w:after="40" w:line="252" w:lineRule="auto"/>
            </w:pPr>
            <w:r>
              <w:rPr>
                <w:rFonts w:ascii="Arial" w:hAnsi="Arial"/>
                <w:sz w:val="19"/>
              </w:rPr>
              <w:t>Paroxysmal attacks with pain-free intervals; some patients later develop a persistent background ache between paroxysms.</w:t>
            </w:r>
          </w:p>
        </w:tc>
      </w:tr>
      <w:tr>
        <w:tc>
          <w:tcPr>
            <w:tcW w:type="dxa" w:w="3168"/>
            <w:vAlign w:val="center"/>
            <w:tcMar>
              <w:top w:w="80" w:type="dxa"/>
              <w:start w:w="90" w:type="dxa"/>
              <w:bottom w:w="80" w:type="dxa"/>
              <w:end w:w="90" w:type="dxa"/>
            </w:tcMar>
          </w:tcPr>
          <w:p>
            <w:pPr>
              <w:spacing w:before="40" w:after="40" w:line="252" w:lineRule="auto"/>
            </w:pPr>
            <w:r>
              <w:rPr>
                <w:rFonts w:ascii="Arial" w:hAnsi="Arial"/>
                <w:sz w:val="19"/>
              </w:rPr>
              <w:t>Examination</w:t>
            </w:r>
          </w:p>
        </w:tc>
        <w:tc>
          <w:tcPr>
            <w:tcW w:type="dxa" w:w="6768"/>
            <w:vAlign w:val="center"/>
            <w:tcMar>
              <w:top w:w="80" w:type="dxa"/>
              <w:start w:w="90" w:type="dxa"/>
              <w:bottom w:w="80" w:type="dxa"/>
              <w:end w:w="90" w:type="dxa"/>
            </w:tcMar>
          </w:tcPr>
          <w:p>
            <w:pPr>
              <w:spacing w:before="40" w:after="40" w:line="252" w:lineRule="auto"/>
            </w:pPr>
            <w:r>
              <w:rPr>
                <w:rFonts w:ascii="Arial" w:hAnsi="Arial"/>
                <w:sz w:val="19"/>
              </w:rPr>
              <w:t>Often normal between attacks, though a trigger zone may be demonstrable.</w:t>
            </w:r>
          </w:p>
        </w:tc>
      </w:tr>
    </w:tbl>
    <w:p>
      <w:pPr>
        <w:spacing w:after="40"/>
      </w:pPr>
    </w:p>
    <w:p>
      <w:pPr/>
      <w:r>
        <w:rPr>
          <w:b w:val="0"/>
          <w:i w:val="0"/>
        </w:rPr>
        <w:t>Features that make the diagnosis less secure include continuous burning pain without distinct paroxysms, prominent sensory loss, marked cranial autonomic features, fixed neurological deficits, purely intraoral triggers, or pain that radiates beyond the trigeminal territory.</w:t>
      </w:r>
    </w:p>
    <w:p>
      <w:pPr>
        <w:pStyle w:val="Heading1"/>
      </w:pPr>
      <w:r>
        <w:rPr>
          <w:b w:val="0"/>
          <w:i w:val="0"/>
        </w:rPr>
        <w:t>3. Red flags and important alternative diagnoses</w:t>
      </w:r>
    </w:p>
    <w:tbl>
      <w:tblPr>
        <w:tblStyle w:val="TableGrid"/>
        <w:tblW w:type="auto" w:w="0"/>
        <w:jc w:val="center"/>
        <w:tblLook w:firstColumn="1" w:firstRow="1" w:lastColumn="0" w:lastRow="0" w:noHBand="0" w:noVBand="1" w:val="04A0"/>
      </w:tblPr>
      <w:tblGrid>
        <w:gridCol w:w="3384"/>
        <w:gridCol w:w="6552"/>
      </w:tblGrid>
      <w:tr>
        <w:trPr>
          <w:tblHeader w:val="true"/>
        </w:trPr>
        <w:tc>
          <w:tcPr>
            <w:tcW w:type="dxa" w:w="4986"/>
            <w:vAlign w:val="center"/>
            <w:tcMar>
              <w:top w:w="80" w:type="dxa"/>
              <w:start w:w="90" w:type="dxa"/>
              <w:bottom w:w="80" w:type="dxa"/>
              <w:end w:w="90" w:type="dxa"/>
            </w:tcMar>
            <w:shd w:fill="F4D7D7"/>
          </w:tcPr>
          <w:p>
            <w:pPr>
              <w:spacing w:before="40" w:after="40" w:line="252" w:lineRule="auto"/>
            </w:pPr>
            <w:r>
              <w:rPr>
                <w:rFonts w:ascii="Arial" w:hAnsi="Arial"/>
                <w:b/>
                <w:sz w:val="19"/>
              </w:rPr>
              <w:t>Red flag / atypical feature</w:t>
            </w:r>
          </w:p>
        </w:tc>
        <w:tc>
          <w:tcPr>
            <w:tcW w:type="dxa" w:w="4986"/>
            <w:vAlign w:val="center"/>
            <w:tcMar>
              <w:top w:w="80" w:type="dxa"/>
              <w:start w:w="90" w:type="dxa"/>
              <w:bottom w:w="80" w:type="dxa"/>
              <w:end w:w="90" w:type="dxa"/>
            </w:tcMar>
            <w:shd w:fill="F4D7D7"/>
          </w:tcPr>
          <w:p>
            <w:pPr>
              <w:spacing w:before="40" w:after="40" w:line="252" w:lineRule="auto"/>
            </w:pPr>
            <w:r>
              <w:rPr>
                <w:rFonts w:ascii="Arial" w:hAnsi="Arial"/>
                <w:b/>
                <w:sz w:val="19"/>
              </w:rPr>
              <w:t>Why it matters / likely action</w:t>
            </w:r>
          </w:p>
        </w:tc>
      </w:tr>
      <w:tr>
        <w:tc>
          <w:tcPr>
            <w:tcW w:type="dxa" w:w="3384"/>
            <w:vAlign w:val="center"/>
            <w:tcMar>
              <w:top w:w="80" w:type="dxa"/>
              <w:start w:w="90" w:type="dxa"/>
              <w:bottom w:w="80" w:type="dxa"/>
              <w:end w:w="90" w:type="dxa"/>
            </w:tcMar>
          </w:tcPr>
          <w:p>
            <w:pPr>
              <w:spacing w:before="40" w:after="40" w:line="252" w:lineRule="auto"/>
            </w:pPr>
            <w:r>
              <w:rPr>
                <w:rFonts w:ascii="Arial" w:hAnsi="Arial"/>
                <w:sz w:val="19"/>
              </w:rPr>
              <w:t>Age &lt;40 years at onset</w:t>
            </w:r>
          </w:p>
        </w:tc>
        <w:tc>
          <w:tcPr>
            <w:tcW w:type="dxa" w:w="6552"/>
            <w:vAlign w:val="center"/>
            <w:tcMar>
              <w:top w:w="80" w:type="dxa"/>
              <w:start w:w="90" w:type="dxa"/>
              <w:bottom w:w="80" w:type="dxa"/>
              <w:end w:w="90" w:type="dxa"/>
            </w:tcMar>
          </w:tcPr>
          <w:p>
            <w:pPr>
              <w:spacing w:before="40" w:after="40" w:line="252" w:lineRule="auto"/>
            </w:pPr>
            <w:r>
              <w:rPr>
                <w:rFonts w:ascii="Arial" w:hAnsi="Arial"/>
                <w:sz w:val="19"/>
              </w:rPr>
              <w:t>Higher likelihood of secondary TN; urgent MRI-focused evaluation and specialist review.</w:t>
            </w:r>
          </w:p>
        </w:tc>
      </w:tr>
      <w:tr>
        <w:tc>
          <w:tcPr>
            <w:tcW w:type="dxa" w:w="3384"/>
            <w:vAlign w:val="center"/>
            <w:tcMar>
              <w:top w:w="80" w:type="dxa"/>
              <w:start w:w="90" w:type="dxa"/>
              <w:bottom w:w="80" w:type="dxa"/>
              <w:end w:w="90" w:type="dxa"/>
            </w:tcMar>
            <w:shd w:fill="FCF5F5"/>
          </w:tcPr>
          <w:p>
            <w:pPr>
              <w:spacing w:before="40" w:after="40" w:line="252" w:lineRule="auto"/>
            </w:pPr>
            <w:r>
              <w:rPr>
                <w:rFonts w:ascii="Arial" w:hAnsi="Arial"/>
                <w:sz w:val="19"/>
              </w:rPr>
              <w:t>Objective sensory loss, corneal change, or other cranial nerve deficit</w:t>
            </w:r>
          </w:p>
        </w:tc>
        <w:tc>
          <w:tcPr>
            <w:tcW w:type="dxa" w:w="6552"/>
            <w:vAlign w:val="center"/>
            <w:tcMar>
              <w:top w:w="80" w:type="dxa"/>
              <w:start w:w="90" w:type="dxa"/>
              <w:bottom w:w="80" w:type="dxa"/>
              <w:end w:w="90" w:type="dxa"/>
            </w:tcMar>
            <w:shd w:fill="FCF5F5"/>
          </w:tcPr>
          <w:p>
            <w:pPr>
              <w:spacing w:before="40" w:after="40" w:line="252" w:lineRule="auto"/>
            </w:pPr>
            <w:r>
              <w:rPr>
                <w:rFonts w:ascii="Arial" w:hAnsi="Arial"/>
                <w:sz w:val="19"/>
              </w:rPr>
              <w:t>Consider tumour, demyelination, trigeminal neuropathy, or other structural disease.</w:t>
            </w:r>
          </w:p>
        </w:tc>
      </w:tr>
      <w:tr>
        <w:tc>
          <w:tcPr>
            <w:tcW w:type="dxa" w:w="3384"/>
            <w:vAlign w:val="center"/>
            <w:tcMar>
              <w:top w:w="80" w:type="dxa"/>
              <w:start w:w="90" w:type="dxa"/>
              <w:bottom w:w="80" w:type="dxa"/>
              <w:end w:w="90" w:type="dxa"/>
            </w:tcMar>
          </w:tcPr>
          <w:p>
            <w:pPr>
              <w:spacing w:before="40" w:after="40" w:line="252" w:lineRule="auto"/>
            </w:pPr>
            <w:r>
              <w:rPr>
                <w:rFonts w:ascii="Arial" w:hAnsi="Arial"/>
                <w:sz w:val="19"/>
              </w:rPr>
              <w:t>Bilateral symptoms</w:t>
            </w:r>
          </w:p>
        </w:tc>
        <w:tc>
          <w:tcPr>
            <w:tcW w:type="dxa" w:w="6552"/>
            <w:vAlign w:val="center"/>
            <w:tcMar>
              <w:top w:w="80" w:type="dxa"/>
              <w:start w:w="90" w:type="dxa"/>
              <w:bottom w:w="80" w:type="dxa"/>
              <w:end w:w="90" w:type="dxa"/>
            </w:tcMar>
          </w:tcPr>
          <w:p>
            <w:pPr>
              <w:spacing w:before="40" w:after="40" w:line="252" w:lineRule="auto"/>
            </w:pPr>
            <w:r>
              <w:rPr>
                <w:rFonts w:ascii="Arial" w:hAnsi="Arial"/>
                <w:sz w:val="19"/>
              </w:rPr>
              <w:t>Raises concern for multiple sclerosis or systemic disease.</w:t>
            </w:r>
          </w:p>
        </w:tc>
      </w:tr>
      <w:tr>
        <w:tc>
          <w:tcPr>
            <w:tcW w:type="dxa" w:w="3384"/>
            <w:vAlign w:val="center"/>
            <w:tcMar>
              <w:top w:w="80" w:type="dxa"/>
              <w:start w:w="90" w:type="dxa"/>
              <w:bottom w:w="80" w:type="dxa"/>
              <w:end w:w="90" w:type="dxa"/>
            </w:tcMar>
            <w:shd w:fill="FCF5F5"/>
          </w:tcPr>
          <w:p>
            <w:pPr>
              <w:spacing w:before="40" w:after="40" w:line="252" w:lineRule="auto"/>
            </w:pPr>
            <w:r>
              <w:rPr>
                <w:rFonts w:ascii="Arial" w:hAnsi="Arial"/>
                <w:sz w:val="19"/>
              </w:rPr>
              <w:t>Persistent pain dominating over paroxysms</w:t>
            </w:r>
          </w:p>
        </w:tc>
        <w:tc>
          <w:tcPr>
            <w:tcW w:type="dxa" w:w="6552"/>
            <w:vAlign w:val="center"/>
            <w:tcMar>
              <w:top w:w="80" w:type="dxa"/>
              <w:start w:w="90" w:type="dxa"/>
              <w:bottom w:w="80" w:type="dxa"/>
              <w:end w:w="90" w:type="dxa"/>
            </w:tcMar>
            <w:shd w:fill="FCF5F5"/>
          </w:tcPr>
          <w:p>
            <w:pPr>
              <w:spacing w:before="40" w:after="40" w:line="252" w:lineRule="auto"/>
            </w:pPr>
            <w:r>
              <w:rPr>
                <w:rFonts w:ascii="Arial" w:hAnsi="Arial"/>
                <w:sz w:val="19"/>
              </w:rPr>
              <w:t>Reconsider painful trigeminal neuropathy, dental pathology, temporomandibular disease, or other facial pain syndromes.</w:t>
            </w:r>
          </w:p>
        </w:tc>
      </w:tr>
      <w:tr>
        <w:tc>
          <w:tcPr>
            <w:tcW w:type="dxa" w:w="3384"/>
            <w:vAlign w:val="center"/>
            <w:tcMar>
              <w:top w:w="80" w:type="dxa"/>
              <w:start w:w="90" w:type="dxa"/>
              <w:bottom w:w="80" w:type="dxa"/>
              <w:end w:w="90" w:type="dxa"/>
            </w:tcMar>
          </w:tcPr>
          <w:p>
            <w:pPr>
              <w:spacing w:before="40" w:after="40" w:line="252" w:lineRule="auto"/>
            </w:pPr>
            <w:r>
              <w:rPr>
                <w:rFonts w:ascii="Arial" w:hAnsi="Arial"/>
                <w:sz w:val="19"/>
              </w:rPr>
              <w:t>Prominent autonomic features</w:t>
            </w:r>
          </w:p>
        </w:tc>
        <w:tc>
          <w:tcPr>
            <w:tcW w:type="dxa" w:w="6552"/>
            <w:vAlign w:val="center"/>
            <w:tcMar>
              <w:top w:w="80" w:type="dxa"/>
              <w:start w:w="90" w:type="dxa"/>
              <w:bottom w:w="80" w:type="dxa"/>
              <w:end w:w="90" w:type="dxa"/>
            </w:tcMar>
          </w:tcPr>
          <w:p>
            <w:pPr>
              <w:spacing w:before="40" w:after="40" w:line="252" w:lineRule="auto"/>
            </w:pPr>
            <w:r>
              <w:rPr>
                <w:rFonts w:ascii="Arial" w:hAnsi="Arial"/>
                <w:sz w:val="19"/>
              </w:rPr>
              <w:t>Consider SUNCT/SUNA or other trigeminal autonomic cephalalgias.</w:t>
            </w:r>
          </w:p>
        </w:tc>
      </w:tr>
      <w:tr>
        <w:tc>
          <w:tcPr>
            <w:tcW w:type="dxa" w:w="3384"/>
            <w:vAlign w:val="center"/>
            <w:tcMar>
              <w:top w:w="80" w:type="dxa"/>
              <w:start w:w="90" w:type="dxa"/>
              <w:bottom w:w="80" w:type="dxa"/>
              <w:end w:w="90" w:type="dxa"/>
            </w:tcMar>
            <w:shd w:fill="FCF5F5"/>
          </w:tcPr>
          <w:p>
            <w:pPr>
              <w:spacing w:before="40" w:after="40" w:line="252" w:lineRule="auto"/>
            </w:pPr>
            <w:r>
              <w:rPr>
                <w:rFonts w:ascii="Arial" w:hAnsi="Arial"/>
                <w:sz w:val="19"/>
              </w:rPr>
              <w:t>Only intraoral triggers or suspected dental source</w:t>
            </w:r>
          </w:p>
        </w:tc>
        <w:tc>
          <w:tcPr>
            <w:tcW w:type="dxa" w:w="6552"/>
            <w:vAlign w:val="center"/>
            <w:tcMar>
              <w:top w:w="80" w:type="dxa"/>
              <w:start w:w="90" w:type="dxa"/>
              <w:bottom w:w="80" w:type="dxa"/>
              <w:end w:w="90" w:type="dxa"/>
            </w:tcMar>
            <w:shd w:fill="FCF5F5"/>
          </w:tcPr>
          <w:p>
            <w:pPr>
              <w:spacing w:before="40" w:after="40" w:line="252" w:lineRule="auto"/>
            </w:pPr>
            <w:r>
              <w:rPr>
                <w:rFonts w:ascii="Arial" w:hAnsi="Arial"/>
                <w:sz w:val="19"/>
              </w:rPr>
              <w:t>Dental review may be required before labelling as TN.</w:t>
            </w:r>
          </w:p>
        </w:tc>
      </w:tr>
      <w:tr>
        <w:tc>
          <w:tcPr>
            <w:tcW w:type="dxa" w:w="3384"/>
            <w:vAlign w:val="center"/>
            <w:tcMar>
              <w:top w:w="80" w:type="dxa"/>
              <w:start w:w="90" w:type="dxa"/>
              <w:bottom w:w="80" w:type="dxa"/>
              <w:end w:w="90" w:type="dxa"/>
            </w:tcMar>
          </w:tcPr>
          <w:p>
            <w:pPr>
              <w:spacing w:before="40" w:after="40" w:line="252" w:lineRule="auto"/>
            </w:pPr>
            <w:r>
              <w:rPr>
                <w:rFonts w:ascii="Arial" w:hAnsi="Arial"/>
                <w:sz w:val="19"/>
              </w:rPr>
              <w:t>Rapid progression, weight loss, constitutional symptoms, cancer history, immunosuppression</w:t>
            </w:r>
          </w:p>
        </w:tc>
        <w:tc>
          <w:tcPr>
            <w:tcW w:type="dxa" w:w="6552"/>
            <w:vAlign w:val="center"/>
            <w:tcMar>
              <w:top w:w="80" w:type="dxa"/>
              <w:start w:w="90" w:type="dxa"/>
              <w:bottom w:w="80" w:type="dxa"/>
              <w:end w:w="90" w:type="dxa"/>
            </w:tcMar>
          </w:tcPr>
          <w:p>
            <w:pPr>
              <w:spacing w:before="40" w:after="40" w:line="252" w:lineRule="auto"/>
            </w:pPr>
            <w:r>
              <w:rPr>
                <w:rFonts w:ascii="Arial" w:hAnsi="Arial"/>
                <w:sz w:val="19"/>
              </w:rPr>
              <w:t>Consider structural lesion or other secondary process; escalate urgency.</w:t>
            </w:r>
          </w:p>
        </w:tc>
      </w:tr>
      <w:tr>
        <w:tc>
          <w:tcPr>
            <w:tcW w:type="dxa" w:w="3384"/>
            <w:vAlign w:val="center"/>
            <w:tcMar>
              <w:top w:w="80" w:type="dxa"/>
              <w:start w:w="90" w:type="dxa"/>
              <w:bottom w:w="80" w:type="dxa"/>
              <w:end w:w="90" w:type="dxa"/>
            </w:tcMar>
            <w:shd w:fill="FCF5F5"/>
          </w:tcPr>
          <w:p>
            <w:pPr>
              <w:spacing w:before="40" w:after="40" w:line="252" w:lineRule="auto"/>
            </w:pPr>
            <w:r>
              <w:rPr>
                <w:rFonts w:ascii="Arial" w:hAnsi="Arial"/>
                <w:sz w:val="19"/>
              </w:rPr>
              <w:t>Acute severe mood symptoms or suicidal thinking</w:t>
            </w:r>
          </w:p>
        </w:tc>
        <w:tc>
          <w:tcPr>
            <w:tcW w:type="dxa" w:w="6552"/>
            <w:vAlign w:val="center"/>
            <w:tcMar>
              <w:top w:w="80" w:type="dxa"/>
              <w:start w:w="90" w:type="dxa"/>
              <w:bottom w:w="80" w:type="dxa"/>
              <w:end w:w="90" w:type="dxa"/>
            </w:tcMar>
            <w:shd w:fill="FCF5F5"/>
          </w:tcPr>
          <w:p>
            <w:pPr>
              <w:spacing w:before="40" w:after="40" w:line="252" w:lineRule="auto"/>
            </w:pPr>
            <w:r>
              <w:rPr>
                <w:rFonts w:ascii="Arial" w:hAnsi="Arial"/>
                <w:sz w:val="19"/>
              </w:rPr>
              <w:t>Medication burden and severe pain can destabilise mental health; assess urgently and manage alongside pain control.</w:t>
            </w:r>
          </w:p>
        </w:tc>
      </w:tr>
    </w:tbl>
    <w:p>
      <w:pPr/>
      <w:r>
        <w:rPr>
          <w:b w:val="0"/>
          <w:i w:val="0"/>
        </w:rPr>
        <w:t>Key mimics include painful trigeminal neuropathy, dental pain (pulpitis, abscess, caries, cracked tooth), glossopharyngeal neuralgia, SUNCT/SUNA, primary stabbing headache, first bite syndrome, and cluster-tic syndrome.</w:t>
      </w:r>
    </w:p>
    <w:p>
      <w:pPr>
        <w:pStyle w:val="Heading1"/>
      </w:pPr>
      <w:r>
        <w:rPr>
          <w:b w:val="0"/>
          <w:i w:val="0"/>
        </w:rPr>
        <w:t>4. Investigations and imaging pathway</w:t>
      </w:r>
    </w:p>
    <w:p>
      <w:pPr>
        <w:pStyle w:val="Heading2"/>
      </w:pPr>
      <w:r>
        <w:rPr>
          <w:b w:val="0"/>
          <w:i w:val="0"/>
        </w:rPr>
        <w:t>4.1 Core imaging recommendation</w:t>
      </w:r>
    </w:p>
    <w:p>
      <w:pPr/>
      <w:r>
        <w:rPr>
          <w:b w:val="0"/>
          <w:i w:val="0"/>
        </w:rPr>
        <w:t>The practical consensus across contemporary UK, European, and American guidance is that patients with suspected TN should undergo MRI-based assessment. In current UK guidance this is usually framed as specialist referral for MRI, whereas European guidance emphasises high-resolution trigeminal MRI and MRA where available.</w:t>
      </w:r>
    </w:p>
    <w:p>
      <w:pPr>
        <w:pStyle w:val="ListBullet"/>
      </w:pPr>
      <w:r>
        <w:rPr>
          <w:rFonts w:ascii="Arial" w:hAnsi="Arial"/>
          <w:sz w:val="21"/>
        </w:rPr>
        <w:t>Preferred study: brain MRI with and without contrast, plus vascular imaging (MRA where available).</w:t>
      </w:r>
    </w:p>
    <w:p>
      <w:pPr>
        <w:pStyle w:val="ListBullet"/>
      </w:pPr>
      <w:r>
        <w:rPr>
          <w:rFonts w:ascii="Arial" w:hAnsi="Arial"/>
          <w:sz w:val="21"/>
        </w:rPr>
        <w:t>Use high-resolution thin-slice trigeminal sequences through the root entry zone and Meckel’s cave when possible.</w:t>
      </w:r>
    </w:p>
    <w:p>
      <w:pPr>
        <w:pStyle w:val="ListBullet"/>
      </w:pPr>
      <w:r>
        <w:rPr>
          <w:rFonts w:ascii="Arial" w:hAnsi="Arial"/>
          <w:sz w:val="21"/>
        </w:rPr>
        <w:t>If MRI is not feasible, CT/CTA and trigeminal reflex testing may help, but these are second-line substitutes rather than ideal first-line tests.</w:t>
      </w:r>
    </w:p>
    <w:p>
      <w:pPr>
        <w:pStyle w:val="Heading2"/>
      </w:pPr>
      <w:r>
        <w:rPr>
          <w:b w:val="0"/>
          <w:i w:val="0"/>
        </w:rPr>
        <w:t>4.2 What imaging is trying to answer</w:t>
      </w:r>
    </w:p>
    <w:tbl>
      <w:tblPr>
        <w:tblStyle w:val="TableGrid"/>
        <w:tblW w:type="auto" w:w="0"/>
        <w:jc w:val="center"/>
        <w:tblLook w:firstColumn="1" w:firstRow="1" w:lastColumn="0" w:lastRow="0" w:noHBand="0" w:noVBand="1" w:val="04A0"/>
      </w:tblPr>
      <w:tblGrid>
        <w:gridCol w:w="3024"/>
        <w:gridCol w:w="6912"/>
      </w:tblGrid>
      <w:tr>
        <w:trPr>
          <w:tblHeader w:val="true"/>
        </w:trPr>
        <w:tc>
          <w:tcPr>
            <w:tcW w:type="dxa" w:w="4986"/>
            <w:vAlign w:val="center"/>
            <w:tcMar>
              <w:top w:w="80" w:type="dxa"/>
              <w:start w:w="90" w:type="dxa"/>
              <w:bottom w:w="80" w:type="dxa"/>
              <w:end w:w="90" w:type="dxa"/>
            </w:tcMar>
            <w:shd w:fill="D9E8F5"/>
          </w:tcPr>
          <w:p>
            <w:pPr>
              <w:spacing w:before="40" w:after="40" w:line="252" w:lineRule="auto"/>
            </w:pPr>
            <w:r>
              <w:rPr>
                <w:rFonts w:ascii="Arial" w:hAnsi="Arial"/>
                <w:b/>
                <w:sz w:val="19"/>
              </w:rPr>
              <w:t>Question</w:t>
            </w:r>
          </w:p>
        </w:tc>
        <w:tc>
          <w:tcPr>
            <w:tcW w:type="dxa" w:w="4986"/>
            <w:vAlign w:val="center"/>
            <w:tcMar>
              <w:top w:w="80" w:type="dxa"/>
              <w:start w:w="90" w:type="dxa"/>
              <w:bottom w:w="80" w:type="dxa"/>
              <w:end w:w="90" w:type="dxa"/>
            </w:tcMar>
            <w:shd w:fill="D9E8F5"/>
          </w:tcPr>
          <w:p>
            <w:pPr>
              <w:spacing w:before="40" w:after="40" w:line="252" w:lineRule="auto"/>
            </w:pPr>
            <w:r>
              <w:rPr>
                <w:rFonts w:ascii="Arial" w:hAnsi="Arial"/>
                <w:b/>
                <w:sz w:val="19"/>
              </w:rPr>
              <w:t>Clinical relevance</w:t>
            </w:r>
          </w:p>
        </w:tc>
      </w:tr>
      <w:tr>
        <w:tc>
          <w:tcPr>
            <w:tcW w:type="dxa" w:w="3024"/>
            <w:vAlign w:val="center"/>
            <w:tcMar>
              <w:top w:w="80" w:type="dxa"/>
              <w:start w:w="90" w:type="dxa"/>
              <w:bottom w:w="80" w:type="dxa"/>
              <w:end w:w="90" w:type="dxa"/>
            </w:tcMar>
          </w:tcPr>
          <w:p>
            <w:pPr>
              <w:spacing w:before="40" w:after="40" w:line="252" w:lineRule="auto"/>
            </w:pPr>
            <w:r>
              <w:rPr>
                <w:rFonts w:ascii="Arial" w:hAnsi="Arial"/>
                <w:sz w:val="19"/>
              </w:rPr>
              <w:t>Is there a structural cause?</w:t>
            </w:r>
          </w:p>
        </w:tc>
        <w:tc>
          <w:tcPr>
            <w:tcW w:type="dxa" w:w="6912"/>
            <w:vAlign w:val="center"/>
            <w:tcMar>
              <w:top w:w="80" w:type="dxa"/>
              <w:start w:w="90" w:type="dxa"/>
              <w:bottom w:w="80" w:type="dxa"/>
              <w:end w:w="90" w:type="dxa"/>
            </w:tcMar>
          </w:tcPr>
          <w:p>
            <w:pPr>
              <w:spacing w:before="40" w:after="40" w:line="252" w:lineRule="auto"/>
            </w:pPr>
            <w:r>
              <w:rPr>
                <w:rFonts w:ascii="Arial" w:hAnsi="Arial"/>
                <w:sz w:val="19"/>
              </w:rPr>
              <w:t>Routine imaging may identify a structural cause in up to about 15% of patients in the American evidence base.</w:t>
            </w:r>
          </w:p>
        </w:tc>
      </w:tr>
      <w:tr>
        <w:tc>
          <w:tcPr>
            <w:tcW w:type="dxa" w:w="3024"/>
            <w:vAlign w:val="center"/>
            <w:tcMar>
              <w:top w:w="80" w:type="dxa"/>
              <w:start w:w="90" w:type="dxa"/>
              <w:bottom w:w="80" w:type="dxa"/>
              <w:end w:w="90" w:type="dxa"/>
            </w:tcMar>
            <w:shd w:fill="F7FAFC"/>
          </w:tcPr>
          <w:p>
            <w:pPr>
              <w:spacing w:before="40" w:after="40" w:line="252" w:lineRule="auto"/>
            </w:pPr>
            <w:r>
              <w:rPr>
                <w:rFonts w:ascii="Arial" w:hAnsi="Arial"/>
                <w:sz w:val="19"/>
              </w:rPr>
              <w:t>Is there neurovascular compression with nerve distortion?</w:t>
            </w:r>
          </w:p>
        </w:tc>
        <w:tc>
          <w:tcPr>
            <w:tcW w:type="dxa" w:w="6912"/>
            <w:vAlign w:val="center"/>
            <w:tcMar>
              <w:top w:w="80" w:type="dxa"/>
              <w:start w:w="90" w:type="dxa"/>
              <w:bottom w:w="80" w:type="dxa"/>
              <w:end w:w="90" w:type="dxa"/>
            </w:tcMar>
            <w:shd w:fill="F7FAFC"/>
          </w:tcPr>
          <w:p>
            <w:pPr>
              <w:spacing w:before="40" w:after="40" w:line="252" w:lineRule="auto"/>
            </w:pPr>
            <w:r>
              <w:rPr>
                <w:rFonts w:ascii="Arial" w:hAnsi="Arial"/>
                <w:sz w:val="19"/>
              </w:rPr>
              <w:t>This supports classification as classical TN and helps decide whether microvascular decompression is a realistic surgical option.</w:t>
            </w:r>
          </w:p>
        </w:tc>
      </w:tr>
      <w:tr>
        <w:tc>
          <w:tcPr>
            <w:tcW w:type="dxa" w:w="3024"/>
            <w:vAlign w:val="center"/>
            <w:tcMar>
              <w:top w:w="80" w:type="dxa"/>
              <w:start w:w="90" w:type="dxa"/>
              <w:bottom w:w="80" w:type="dxa"/>
              <w:end w:w="90" w:type="dxa"/>
            </w:tcMar>
          </w:tcPr>
          <w:p>
            <w:pPr>
              <w:spacing w:before="40" w:after="40" w:line="252" w:lineRule="auto"/>
            </w:pPr>
            <w:r>
              <w:rPr>
                <w:rFonts w:ascii="Arial" w:hAnsi="Arial"/>
                <w:sz w:val="19"/>
              </w:rPr>
              <w:t>Is there demyelination or cerebellopontine angle pathology?</w:t>
            </w:r>
          </w:p>
        </w:tc>
        <w:tc>
          <w:tcPr>
            <w:tcW w:type="dxa" w:w="6912"/>
            <w:vAlign w:val="center"/>
            <w:tcMar>
              <w:top w:w="80" w:type="dxa"/>
              <w:start w:w="90" w:type="dxa"/>
              <w:bottom w:w="80" w:type="dxa"/>
              <w:end w:w="90" w:type="dxa"/>
            </w:tcMar>
          </w:tcPr>
          <w:p>
            <w:pPr>
              <w:spacing w:before="40" w:after="40" w:line="252" w:lineRule="auto"/>
            </w:pPr>
            <w:r>
              <w:rPr>
                <w:rFonts w:ascii="Arial" w:hAnsi="Arial"/>
                <w:sz w:val="19"/>
              </w:rPr>
              <w:t>This supports secondary TN and may alter both symptomatic and cause-specific treatment.</w:t>
            </w:r>
          </w:p>
        </w:tc>
      </w:tr>
      <w:tr>
        <w:tc>
          <w:tcPr>
            <w:tcW w:type="dxa" w:w="3024"/>
            <w:vAlign w:val="center"/>
            <w:tcMar>
              <w:top w:w="80" w:type="dxa"/>
              <w:start w:w="90" w:type="dxa"/>
              <w:bottom w:w="80" w:type="dxa"/>
              <w:end w:w="90" w:type="dxa"/>
            </w:tcMar>
            <w:shd w:fill="F7FAFC"/>
          </w:tcPr>
          <w:p>
            <w:pPr>
              <w:spacing w:before="40" w:after="40" w:line="252" w:lineRule="auto"/>
            </w:pPr>
            <w:r>
              <w:rPr>
                <w:rFonts w:ascii="Arial" w:hAnsi="Arial"/>
                <w:sz w:val="19"/>
              </w:rPr>
              <w:t>Is the pattern atypical or non-trigeminal?</w:t>
            </w:r>
          </w:p>
        </w:tc>
        <w:tc>
          <w:tcPr>
            <w:tcW w:type="dxa" w:w="6912"/>
            <w:vAlign w:val="center"/>
            <w:tcMar>
              <w:top w:w="80" w:type="dxa"/>
              <w:start w:w="90" w:type="dxa"/>
              <w:bottom w:w="80" w:type="dxa"/>
              <w:end w:w="90" w:type="dxa"/>
            </w:tcMar>
            <w:shd w:fill="F7FAFC"/>
          </w:tcPr>
          <w:p>
            <w:pPr>
              <w:spacing w:before="40" w:after="40" w:line="252" w:lineRule="auto"/>
            </w:pPr>
            <w:r>
              <w:rPr>
                <w:rFonts w:ascii="Arial" w:hAnsi="Arial"/>
                <w:sz w:val="19"/>
              </w:rPr>
              <w:t>Helps avoid mislabelling facial pain syndromes as TN.</w:t>
            </w:r>
          </w:p>
        </w:tc>
      </w:tr>
    </w:tbl>
    <w:p>
      <w:pPr>
        <w:pStyle w:val="Heading2"/>
      </w:pPr>
      <w:r>
        <w:rPr>
          <w:b w:val="0"/>
          <w:i w:val="0"/>
        </w:rPr>
        <w:t>4.3 Role of other tests</w:t>
      </w:r>
    </w:p>
    <w:p>
      <w:pPr>
        <w:pStyle w:val="ListBullet"/>
      </w:pPr>
      <w:r>
        <w:rPr>
          <w:rFonts w:ascii="Arial" w:hAnsi="Arial"/>
          <w:sz w:val="21"/>
        </w:rPr>
        <w:t>Trigeminal reflex testing can help distinguish secondary TN from classical TN when imaging is nondiagnostic and local neurophysiology expertise exists.</w:t>
      </w:r>
    </w:p>
    <w:p>
      <w:pPr>
        <w:pStyle w:val="ListBullet"/>
      </w:pPr>
      <w:r>
        <w:rPr>
          <w:rFonts w:ascii="Arial" w:hAnsi="Arial"/>
          <w:sz w:val="21"/>
        </w:rPr>
        <w:t>Dental examination and imaging are appropriate if triggers are purely intraoral or the history suggests an odontogenic cause.</w:t>
      </w:r>
    </w:p>
    <w:p>
      <w:pPr>
        <w:pStyle w:val="ListBullet"/>
      </w:pPr>
      <w:r>
        <w:rPr>
          <w:rFonts w:ascii="Arial" w:hAnsi="Arial"/>
          <w:sz w:val="21"/>
        </w:rPr>
        <w:t>Routine blood tests are not diagnostic, but baseline tests are needed before starting carbamazepine and may help identify comorbidity or contraindications.</w:t>
      </w:r>
    </w:p>
    <w:p>
      <w:pPr>
        <w:pStyle w:val="Heading1"/>
      </w:pPr>
      <w:r>
        <w:rPr>
          <w:b w:val="0"/>
          <w:i w:val="0"/>
        </w:rPr>
        <w:t>5. Holistic management principles</w:t>
      </w:r>
    </w:p>
    <w:p>
      <w:pPr>
        <w:pStyle w:val="ListBullet"/>
      </w:pPr>
      <w:r>
        <w:rPr>
          <w:rFonts w:ascii="Arial" w:hAnsi="Arial"/>
          <w:sz w:val="21"/>
        </w:rPr>
        <w:t>Treat pain promptly, but pair symptom control with accurate phenotyping and imaging rather than assuming all facial neuralgic pain is classical TN.</w:t>
      </w:r>
    </w:p>
    <w:p>
      <w:pPr>
        <w:pStyle w:val="ListBullet"/>
      </w:pPr>
      <w:r>
        <w:rPr>
          <w:rFonts w:ascii="Arial" w:hAnsi="Arial"/>
          <w:sz w:val="21"/>
        </w:rPr>
        <w:t>Assess impact on eating, drinking, oral hygiene, speaking, sleep, mobility, work, and mood at every review.</w:t>
      </w:r>
    </w:p>
    <w:p>
      <w:pPr>
        <w:pStyle w:val="ListBullet"/>
      </w:pPr>
      <w:r>
        <w:rPr>
          <w:rFonts w:ascii="Arial" w:hAnsi="Arial"/>
          <w:sz w:val="21"/>
        </w:rPr>
        <w:t>Screen for depression and anxiety, and ask specifically about hopelessness or self-harm thoughts in severe disease.</w:t>
      </w:r>
    </w:p>
    <w:p>
      <w:pPr>
        <w:pStyle w:val="ListBullet"/>
      </w:pPr>
      <w:r>
        <w:rPr>
          <w:rFonts w:ascii="Arial" w:hAnsi="Arial"/>
          <w:sz w:val="21"/>
        </w:rPr>
        <w:t>Use a pain diary to record daily pain severity, number of attacks, triggers, breakthrough medication, and adverse effects.</w:t>
      </w:r>
    </w:p>
    <w:p>
      <w:pPr>
        <w:pStyle w:val="ListBullet"/>
      </w:pPr>
      <w:r>
        <w:rPr>
          <w:rFonts w:ascii="Arial" w:hAnsi="Arial"/>
          <w:sz w:val="21"/>
        </w:rPr>
        <w:t>Explain the titration plan clearly; many drug failures are really failures of tolerability, dose escalation, or understanding.</w:t>
      </w:r>
    </w:p>
    <w:p>
      <w:pPr>
        <w:pStyle w:val="ListBullet"/>
      </w:pPr>
      <w:r>
        <w:rPr>
          <w:rFonts w:ascii="Arial" w:hAnsi="Arial"/>
          <w:sz w:val="21"/>
        </w:rPr>
        <w:t>Avoid opioids for routine TN management.</w:t>
      </w:r>
    </w:p>
    <w:p>
      <w:pPr>
        <w:pStyle w:val="Heading1"/>
      </w:pPr>
      <w:r>
        <w:rPr>
          <w:b w:val="0"/>
          <w:i w:val="0"/>
        </w:rPr>
        <w:t>6. Pharmacological treatment</w:t>
      </w:r>
    </w:p>
    <w:p>
      <w:pPr>
        <w:pStyle w:val="Heading2"/>
      </w:pPr>
      <w:r>
        <w:rPr>
          <w:b w:val="0"/>
          <w:i w:val="0"/>
        </w:rPr>
        <w:t>6.1 First-line medicines</w:t>
      </w:r>
    </w:p>
    <w:tbl>
      <w:tblPr>
        <w:tblStyle w:val="TableGrid"/>
        <w:tblW w:type="auto" w:w="0"/>
        <w:jc w:val="center"/>
        <w:tblLook w:firstColumn="1" w:firstRow="1" w:lastColumn="0" w:lastRow="0" w:noHBand="0" w:noVBand="1" w:val="04A0"/>
      </w:tblPr>
      <w:tblGrid>
        <w:gridCol w:w="2016"/>
        <w:gridCol w:w="2016"/>
        <w:gridCol w:w="2232"/>
        <w:gridCol w:w="2016"/>
        <w:gridCol w:w="2520"/>
      </w:tblGrid>
      <w:tr>
        <w:trPr>
          <w:tblHeader w:val="true"/>
        </w:trPr>
        <w:tc>
          <w:tcPr>
            <w:tcW w:type="dxa" w:w="1994"/>
            <w:vAlign w:val="center"/>
            <w:tcMar>
              <w:top w:w="80" w:type="dxa"/>
              <w:start w:w="90" w:type="dxa"/>
              <w:bottom w:w="80" w:type="dxa"/>
              <w:end w:w="90" w:type="dxa"/>
            </w:tcMar>
            <w:shd w:fill="D9E8F5"/>
          </w:tcPr>
          <w:p>
            <w:pPr>
              <w:spacing w:before="40" w:after="40" w:line="252" w:lineRule="auto"/>
            </w:pPr>
            <w:r>
              <w:rPr>
                <w:rFonts w:ascii="Arial" w:hAnsi="Arial"/>
                <w:b/>
                <w:sz w:val="19"/>
              </w:rPr>
              <w:t>Medicine</w:t>
            </w:r>
          </w:p>
        </w:tc>
        <w:tc>
          <w:tcPr>
            <w:tcW w:type="dxa" w:w="1994"/>
            <w:vAlign w:val="center"/>
            <w:tcMar>
              <w:top w:w="80" w:type="dxa"/>
              <w:start w:w="90" w:type="dxa"/>
              <w:bottom w:w="80" w:type="dxa"/>
              <w:end w:w="90" w:type="dxa"/>
            </w:tcMar>
            <w:shd w:fill="D9E8F5"/>
          </w:tcPr>
          <w:p>
            <w:pPr>
              <w:spacing w:before="40" w:after="40" w:line="252" w:lineRule="auto"/>
            </w:pPr>
            <w:r>
              <w:rPr>
                <w:rFonts w:ascii="Arial" w:hAnsi="Arial"/>
                <w:b/>
                <w:sz w:val="19"/>
              </w:rPr>
              <w:t>Typical starting dose</w:t>
            </w:r>
          </w:p>
        </w:tc>
        <w:tc>
          <w:tcPr>
            <w:tcW w:type="dxa" w:w="1994"/>
            <w:vAlign w:val="center"/>
            <w:tcMar>
              <w:top w:w="80" w:type="dxa"/>
              <w:start w:w="90" w:type="dxa"/>
              <w:bottom w:w="80" w:type="dxa"/>
              <w:end w:w="90" w:type="dxa"/>
            </w:tcMar>
            <w:shd w:fill="D9E8F5"/>
          </w:tcPr>
          <w:p>
            <w:pPr>
              <w:spacing w:before="40" w:after="40" w:line="252" w:lineRule="auto"/>
            </w:pPr>
            <w:r>
              <w:rPr>
                <w:rFonts w:ascii="Arial" w:hAnsi="Arial"/>
                <w:b/>
                <w:sz w:val="19"/>
              </w:rPr>
              <w:t>Typical maintenance range</w:t>
            </w:r>
          </w:p>
        </w:tc>
        <w:tc>
          <w:tcPr>
            <w:tcW w:type="dxa" w:w="1994"/>
            <w:vAlign w:val="center"/>
            <w:tcMar>
              <w:top w:w="80" w:type="dxa"/>
              <w:start w:w="90" w:type="dxa"/>
              <w:bottom w:w="80" w:type="dxa"/>
              <w:end w:w="90" w:type="dxa"/>
            </w:tcMar>
            <w:shd w:fill="D9E8F5"/>
          </w:tcPr>
          <w:p>
            <w:pPr>
              <w:spacing w:before="40" w:after="40" w:line="252" w:lineRule="auto"/>
            </w:pPr>
            <w:r>
              <w:rPr>
                <w:rFonts w:ascii="Arial" w:hAnsi="Arial"/>
                <w:b/>
                <w:sz w:val="19"/>
              </w:rPr>
              <w:t>Key strengths</w:t>
            </w:r>
          </w:p>
        </w:tc>
        <w:tc>
          <w:tcPr>
            <w:tcW w:type="dxa" w:w="1994"/>
            <w:vAlign w:val="center"/>
            <w:tcMar>
              <w:top w:w="80" w:type="dxa"/>
              <w:start w:w="90" w:type="dxa"/>
              <w:bottom w:w="80" w:type="dxa"/>
              <w:end w:w="90" w:type="dxa"/>
            </w:tcMar>
            <w:shd w:fill="D9E8F5"/>
          </w:tcPr>
          <w:p>
            <w:pPr>
              <w:spacing w:before="40" w:after="40" w:line="252" w:lineRule="auto"/>
            </w:pPr>
            <w:r>
              <w:rPr>
                <w:rFonts w:ascii="Arial" w:hAnsi="Arial"/>
                <w:b/>
                <w:sz w:val="19"/>
              </w:rPr>
              <w:t>Key cautions</w:t>
            </w:r>
          </w:p>
        </w:tc>
      </w:tr>
      <w:tr>
        <w:tc>
          <w:tcPr>
            <w:tcW w:type="dxa" w:w="2016"/>
            <w:vAlign w:val="center"/>
            <w:tcMar>
              <w:top w:w="80" w:type="dxa"/>
              <w:start w:w="90" w:type="dxa"/>
              <w:bottom w:w="80" w:type="dxa"/>
              <w:end w:w="90" w:type="dxa"/>
            </w:tcMar>
          </w:tcPr>
          <w:p>
            <w:pPr>
              <w:spacing w:before="40" w:after="40" w:line="252" w:lineRule="auto"/>
            </w:pPr>
            <w:r>
              <w:rPr>
                <w:rFonts w:ascii="Arial" w:hAnsi="Arial"/>
                <w:sz w:val="19"/>
              </w:rPr>
              <w:t>Carbamazepine</w:t>
            </w:r>
          </w:p>
        </w:tc>
        <w:tc>
          <w:tcPr>
            <w:tcW w:type="dxa" w:w="2016"/>
            <w:vAlign w:val="center"/>
            <w:tcMar>
              <w:top w:w="80" w:type="dxa"/>
              <w:start w:w="90" w:type="dxa"/>
              <w:bottom w:w="80" w:type="dxa"/>
              <w:end w:w="90" w:type="dxa"/>
            </w:tcMar>
          </w:tcPr>
          <w:p>
            <w:pPr>
              <w:spacing w:before="40" w:after="40" w:line="252" w:lineRule="auto"/>
            </w:pPr>
            <w:r>
              <w:rPr>
                <w:rFonts w:ascii="Arial" w:hAnsi="Arial"/>
                <w:sz w:val="19"/>
              </w:rPr>
              <w:t>100 mg once or twice daily</w:t>
            </w:r>
          </w:p>
        </w:tc>
        <w:tc>
          <w:tcPr>
            <w:tcW w:type="dxa" w:w="2232"/>
            <w:vAlign w:val="center"/>
            <w:tcMar>
              <w:top w:w="80" w:type="dxa"/>
              <w:start w:w="90" w:type="dxa"/>
              <w:bottom w:w="80" w:type="dxa"/>
              <w:end w:w="90" w:type="dxa"/>
            </w:tcMar>
          </w:tcPr>
          <w:p>
            <w:pPr>
              <w:spacing w:before="40" w:after="40" w:line="252" w:lineRule="auto"/>
            </w:pPr>
            <w:r>
              <w:rPr>
                <w:rFonts w:ascii="Arial" w:hAnsi="Arial"/>
                <w:sz w:val="19"/>
              </w:rPr>
              <w:t>Usually 600–800 mg/day; some UK guidance allows up to 1200–1600 mg/day in divided doses</w:t>
            </w:r>
          </w:p>
        </w:tc>
        <w:tc>
          <w:tcPr>
            <w:tcW w:type="dxa" w:w="2016"/>
            <w:vAlign w:val="center"/>
            <w:tcMar>
              <w:top w:w="80" w:type="dxa"/>
              <w:start w:w="90" w:type="dxa"/>
              <w:bottom w:w="80" w:type="dxa"/>
              <w:end w:w="90" w:type="dxa"/>
            </w:tcMar>
          </w:tcPr>
          <w:p>
            <w:pPr>
              <w:spacing w:before="40" w:after="40" w:line="252" w:lineRule="auto"/>
            </w:pPr>
            <w:r>
              <w:rPr>
                <w:rFonts w:ascii="Arial" w:hAnsi="Arial"/>
                <w:sz w:val="19"/>
              </w:rPr>
              <w:t>Licensed in UK; strongest evidence base; useful as default first-line option</w:t>
            </w:r>
          </w:p>
        </w:tc>
        <w:tc>
          <w:tcPr>
            <w:tcW w:type="dxa" w:w="2520"/>
            <w:vAlign w:val="center"/>
            <w:tcMar>
              <w:top w:w="80" w:type="dxa"/>
              <w:start w:w="90" w:type="dxa"/>
              <w:bottom w:w="80" w:type="dxa"/>
              <w:end w:w="90" w:type="dxa"/>
            </w:tcMar>
          </w:tcPr>
          <w:p>
            <w:pPr>
              <w:spacing w:before="40" w:after="40" w:line="252" w:lineRule="auto"/>
            </w:pPr>
            <w:r>
              <w:rPr>
                <w:rFonts w:ascii="Arial" w:hAnsi="Arial"/>
                <w:sz w:val="19"/>
              </w:rPr>
              <w:t>Drug interactions, sedation, dizziness, hyponatraemia, rash, blood dyscrasias, hepatic effects</w:t>
            </w:r>
          </w:p>
        </w:tc>
      </w:tr>
      <w:tr>
        <w:tc>
          <w:tcPr>
            <w:tcW w:type="dxa" w:w="2016"/>
            <w:vAlign w:val="center"/>
            <w:tcMar>
              <w:top w:w="80" w:type="dxa"/>
              <w:start w:w="90" w:type="dxa"/>
              <w:bottom w:w="80" w:type="dxa"/>
              <w:end w:w="90" w:type="dxa"/>
            </w:tcMar>
            <w:shd w:fill="F7FAFC"/>
          </w:tcPr>
          <w:p>
            <w:pPr>
              <w:spacing w:before="40" w:after="40" w:line="252" w:lineRule="auto"/>
            </w:pPr>
            <w:r>
              <w:rPr>
                <w:rFonts w:ascii="Arial" w:hAnsi="Arial"/>
                <w:sz w:val="19"/>
              </w:rPr>
              <w:t>Oxcarbazepine</w:t>
            </w:r>
          </w:p>
        </w:tc>
        <w:tc>
          <w:tcPr>
            <w:tcW w:type="dxa" w:w="2016"/>
            <w:vAlign w:val="center"/>
            <w:tcMar>
              <w:top w:w="80" w:type="dxa"/>
              <w:start w:w="90" w:type="dxa"/>
              <w:bottom w:w="80" w:type="dxa"/>
              <w:end w:w="90" w:type="dxa"/>
            </w:tcMar>
            <w:shd w:fill="F7FAFC"/>
          </w:tcPr>
          <w:p>
            <w:pPr>
              <w:spacing w:before="40" w:after="40" w:line="252" w:lineRule="auto"/>
            </w:pPr>
            <w:r>
              <w:rPr>
                <w:rFonts w:ascii="Arial" w:hAnsi="Arial"/>
                <w:sz w:val="19"/>
              </w:rPr>
              <w:t>150–300 mg twice daily</w:t>
            </w:r>
          </w:p>
        </w:tc>
        <w:tc>
          <w:tcPr>
            <w:tcW w:type="dxa" w:w="2232"/>
            <w:vAlign w:val="center"/>
            <w:tcMar>
              <w:top w:w="80" w:type="dxa"/>
              <w:start w:w="90" w:type="dxa"/>
              <w:bottom w:w="80" w:type="dxa"/>
              <w:end w:w="90" w:type="dxa"/>
            </w:tcMar>
            <w:shd w:fill="F7FAFC"/>
          </w:tcPr>
          <w:p>
            <w:pPr>
              <w:spacing w:before="40" w:after="40" w:line="252" w:lineRule="auto"/>
            </w:pPr>
            <w:r>
              <w:rPr>
                <w:rFonts w:ascii="Arial" w:hAnsi="Arial"/>
                <w:sz w:val="19"/>
              </w:rPr>
              <w:t>Usually 1200–1800 mg/day</w:t>
            </w:r>
          </w:p>
        </w:tc>
        <w:tc>
          <w:tcPr>
            <w:tcW w:type="dxa" w:w="2016"/>
            <w:vAlign w:val="center"/>
            <w:tcMar>
              <w:top w:w="80" w:type="dxa"/>
              <w:start w:w="90" w:type="dxa"/>
              <w:bottom w:w="80" w:type="dxa"/>
              <w:end w:w="90" w:type="dxa"/>
            </w:tcMar>
            <w:shd w:fill="F7FAFC"/>
          </w:tcPr>
          <w:p>
            <w:pPr>
              <w:spacing w:before="40" w:after="40" w:line="252" w:lineRule="auto"/>
            </w:pPr>
            <w:r>
              <w:rPr>
                <w:rFonts w:ascii="Arial" w:hAnsi="Arial"/>
                <w:sz w:val="19"/>
              </w:rPr>
              <w:t>Similar efficacy; often fewer interaction problems and sometimes better tolerated</w:t>
            </w:r>
          </w:p>
        </w:tc>
        <w:tc>
          <w:tcPr>
            <w:tcW w:type="dxa" w:w="2520"/>
            <w:vAlign w:val="center"/>
            <w:tcMar>
              <w:top w:w="80" w:type="dxa"/>
              <w:start w:w="90" w:type="dxa"/>
              <w:bottom w:w="80" w:type="dxa"/>
              <w:end w:w="90" w:type="dxa"/>
            </w:tcMar>
            <w:shd w:fill="F7FAFC"/>
          </w:tcPr>
          <w:p>
            <w:pPr>
              <w:spacing w:before="40" w:after="40" w:line="252" w:lineRule="auto"/>
            </w:pPr>
            <w:r>
              <w:rPr>
                <w:rFonts w:ascii="Arial" w:hAnsi="Arial"/>
                <w:sz w:val="19"/>
              </w:rPr>
              <w:t>Hyponatraemia, dizziness, rash, cross-reactivity with carbamazepine, pregnancy uncertainty</w:t>
            </w:r>
          </w:p>
        </w:tc>
      </w:tr>
    </w:tbl>
    <w:p>
      <w:pPr/>
      <w:r>
        <w:rPr>
          <w:b/>
          <w:i w:val="0"/>
        </w:rPr>
        <w:t>Practical interpretation of the guideline landscape:</w:t>
      </w:r>
    </w:p>
    <w:p>
      <w:pPr>
        <w:pStyle w:val="ListBullet"/>
      </w:pPr>
      <w:r>
        <w:rPr>
          <w:rFonts w:ascii="Arial" w:hAnsi="Arial"/>
          <w:sz w:val="21"/>
        </w:rPr>
        <w:t>NICE/CKS-based UK primary care practice places carbamazepine first, with oxcarbazepine as an acceptable alternative, especially when interaction or tolerability issues arise.</w:t>
      </w:r>
    </w:p>
    <w:p>
      <w:pPr>
        <w:pStyle w:val="ListBullet"/>
      </w:pPr>
      <w:r>
        <w:rPr>
          <w:rFonts w:ascii="Arial" w:hAnsi="Arial"/>
          <w:sz w:val="21"/>
        </w:rPr>
        <w:t>European guidance gives strong support to both carbamazepine and oxcarbazepine for long-term treatment, reflecting broader specialist practice.</w:t>
      </w:r>
    </w:p>
    <w:p>
      <w:pPr>
        <w:pStyle w:val="ListBullet"/>
      </w:pPr>
      <w:r>
        <w:rPr>
          <w:rFonts w:ascii="Arial" w:hAnsi="Arial"/>
          <w:sz w:val="21"/>
        </w:rPr>
        <w:t>The AAN guideline, reaffirmed in 2024, continues to rate carbamazepine as the best-supported drug and oxcarbazepine as a strong consideration.</w:t>
      </w:r>
    </w:p>
    <w:p>
      <w:pPr>
        <w:pStyle w:val="Heading2"/>
      </w:pPr>
      <w:r>
        <w:rPr>
          <w:b w:val="0"/>
          <w:i w:val="0"/>
        </w:rPr>
        <w:t>6.2 Carbamazepine prescribing essentials</w:t>
      </w:r>
    </w:p>
    <w:tbl>
      <w:tblPr>
        <w:tblStyle w:val="TableGrid"/>
        <w:tblW w:type="auto" w:w="0"/>
        <w:jc w:val="center"/>
        <w:tblLook w:firstColumn="1" w:firstRow="1" w:lastColumn="0" w:lastRow="0" w:noHBand="0" w:noVBand="1" w:val="04A0"/>
      </w:tblPr>
      <w:tblGrid>
        <w:gridCol w:w="2880"/>
        <w:gridCol w:w="7056"/>
      </w:tblGrid>
      <w:tr>
        <w:trPr>
          <w:tblHeader w:val="true"/>
        </w:trPr>
        <w:tc>
          <w:tcPr>
            <w:tcW w:type="dxa" w:w="4986"/>
            <w:vAlign w:val="center"/>
            <w:tcMar>
              <w:top w:w="80" w:type="dxa"/>
              <w:start w:w="90" w:type="dxa"/>
              <w:bottom w:w="80" w:type="dxa"/>
              <w:end w:w="90" w:type="dxa"/>
            </w:tcMar>
            <w:shd w:fill="E8F0DA"/>
          </w:tcPr>
          <w:p>
            <w:pPr>
              <w:spacing w:before="40" w:after="40" w:line="252" w:lineRule="auto"/>
            </w:pPr>
            <w:r>
              <w:rPr>
                <w:rFonts w:ascii="Arial" w:hAnsi="Arial"/>
                <w:b/>
                <w:sz w:val="19"/>
              </w:rPr>
              <w:t>Domain</w:t>
            </w:r>
          </w:p>
        </w:tc>
        <w:tc>
          <w:tcPr>
            <w:tcW w:type="dxa" w:w="4986"/>
            <w:vAlign w:val="center"/>
            <w:tcMar>
              <w:top w:w="80" w:type="dxa"/>
              <w:start w:w="90" w:type="dxa"/>
              <w:bottom w:w="80" w:type="dxa"/>
              <w:end w:w="90" w:type="dxa"/>
            </w:tcMar>
            <w:shd w:fill="E8F0DA"/>
          </w:tcPr>
          <w:p>
            <w:pPr>
              <w:spacing w:before="40" w:after="40" w:line="252" w:lineRule="auto"/>
            </w:pPr>
            <w:r>
              <w:rPr>
                <w:rFonts w:ascii="Arial" w:hAnsi="Arial"/>
                <w:b/>
                <w:sz w:val="19"/>
              </w:rPr>
              <w:t>Key prescribing points</w:t>
            </w:r>
          </w:p>
        </w:tc>
      </w:tr>
      <w:tr>
        <w:tc>
          <w:tcPr>
            <w:tcW w:type="dxa" w:w="2880"/>
            <w:vAlign w:val="center"/>
            <w:tcMar>
              <w:top w:w="80" w:type="dxa"/>
              <w:start w:w="90" w:type="dxa"/>
              <w:bottom w:w="80" w:type="dxa"/>
              <w:end w:w="90" w:type="dxa"/>
            </w:tcMar>
          </w:tcPr>
          <w:p>
            <w:pPr>
              <w:spacing w:before="40" w:after="40" w:line="252" w:lineRule="auto"/>
            </w:pPr>
            <w:r>
              <w:rPr>
                <w:rFonts w:ascii="Arial" w:hAnsi="Arial"/>
                <w:sz w:val="19"/>
              </w:rPr>
              <w:t>Starting and titration</w:t>
            </w:r>
          </w:p>
        </w:tc>
        <w:tc>
          <w:tcPr>
            <w:tcW w:type="dxa" w:w="7056"/>
            <w:vAlign w:val="center"/>
            <w:tcMar>
              <w:top w:w="80" w:type="dxa"/>
              <w:start w:w="90" w:type="dxa"/>
              <w:bottom w:w="80" w:type="dxa"/>
              <w:end w:w="90" w:type="dxa"/>
            </w:tcMar>
          </w:tcPr>
          <w:p>
            <w:pPr>
              <w:spacing w:before="40" w:after="40" w:line="252" w:lineRule="auto"/>
            </w:pPr>
            <w:r>
              <w:rPr>
                <w:rFonts w:ascii="Arial" w:hAnsi="Arial"/>
                <w:sz w:val="19"/>
              </w:rPr>
              <w:t>Common UK approach: 100 mg once or twice daily, increase by 100–200 mg every 1–2 weeks according to response and tolerability. Some specialist pathways titrate faster.</w:t>
            </w:r>
          </w:p>
        </w:tc>
      </w:tr>
      <w:tr>
        <w:tc>
          <w:tcPr>
            <w:tcW w:type="dxa" w:w="2880"/>
            <w:vAlign w:val="center"/>
            <w:tcMar>
              <w:top w:w="80" w:type="dxa"/>
              <w:start w:w="90" w:type="dxa"/>
              <w:bottom w:w="80" w:type="dxa"/>
              <w:end w:w="90" w:type="dxa"/>
            </w:tcMar>
            <w:shd w:fill="FAFCF5"/>
          </w:tcPr>
          <w:p>
            <w:pPr>
              <w:spacing w:before="40" w:after="40" w:line="252" w:lineRule="auto"/>
            </w:pPr>
            <w:r>
              <w:rPr>
                <w:rFonts w:ascii="Arial" w:hAnsi="Arial"/>
                <w:sz w:val="19"/>
              </w:rPr>
              <w:t>Contraindications</w:t>
            </w:r>
          </w:p>
        </w:tc>
        <w:tc>
          <w:tcPr>
            <w:tcW w:type="dxa" w:w="7056"/>
            <w:vAlign w:val="center"/>
            <w:tcMar>
              <w:top w:w="80" w:type="dxa"/>
              <w:start w:w="90" w:type="dxa"/>
              <w:bottom w:w="80" w:type="dxa"/>
              <w:end w:w="90" w:type="dxa"/>
            </w:tcMar>
            <w:shd w:fill="FAFCF5"/>
          </w:tcPr>
          <w:p>
            <w:pPr>
              <w:spacing w:before="40" w:after="40" w:line="252" w:lineRule="auto"/>
            </w:pPr>
            <w:r>
              <w:rPr>
                <w:rFonts w:ascii="Arial" w:hAnsi="Arial"/>
                <w:sz w:val="19"/>
              </w:rPr>
              <w:t>Hypersensitivity to carbamazepine or related drugs, atrioventricular block, prior bone marrow depression, hepatic porphyria, and current/recent MAOI use.</w:t>
            </w:r>
          </w:p>
        </w:tc>
      </w:tr>
      <w:tr>
        <w:tc>
          <w:tcPr>
            <w:tcW w:type="dxa" w:w="2880"/>
            <w:vAlign w:val="center"/>
            <w:tcMar>
              <w:top w:w="80" w:type="dxa"/>
              <w:start w:w="90" w:type="dxa"/>
              <w:bottom w:w="80" w:type="dxa"/>
              <w:end w:w="90" w:type="dxa"/>
            </w:tcMar>
          </w:tcPr>
          <w:p>
            <w:pPr>
              <w:spacing w:before="40" w:after="40" w:line="252" w:lineRule="auto"/>
            </w:pPr>
            <w:r>
              <w:rPr>
                <w:rFonts w:ascii="Arial" w:hAnsi="Arial"/>
                <w:sz w:val="19"/>
              </w:rPr>
              <w:t>Common adverse effects</w:t>
            </w:r>
          </w:p>
        </w:tc>
        <w:tc>
          <w:tcPr>
            <w:tcW w:type="dxa" w:w="7056"/>
            <w:vAlign w:val="center"/>
            <w:tcMar>
              <w:top w:w="80" w:type="dxa"/>
              <w:start w:w="90" w:type="dxa"/>
              <w:bottom w:w="80" w:type="dxa"/>
              <w:end w:w="90" w:type="dxa"/>
            </w:tcMar>
          </w:tcPr>
          <w:p>
            <w:pPr>
              <w:spacing w:before="40" w:after="40" w:line="252" w:lineRule="auto"/>
            </w:pPr>
            <w:r>
              <w:rPr>
                <w:rFonts w:ascii="Arial" w:hAnsi="Arial"/>
                <w:sz w:val="19"/>
              </w:rPr>
              <w:t>Nausea, vomiting, sedation, dizziness, diplopia, blurred vision, ataxia, lethargy, rash, and hyponatraemia.</w:t>
            </w:r>
          </w:p>
        </w:tc>
      </w:tr>
      <w:tr>
        <w:tc>
          <w:tcPr>
            <w:tcW w:type="dxa" w:w="2880"/>
            <w:vAlign w:val="center"/>
            <w:tcMar>
              <w:top w:w="80" w:type="dxa"/>
              <w:start w:w="90" w:type="dxa"/>
              <w:bottom w:w="80" w:type="dxa"/>
              <w:end w:w="90" w:type="dxa"/>
            </w:tcMar>
            <w:shd w:fill="FAFCF5"/>
          </w:tcPr>
          <w:p>
            <w:pPr>
              <w:spacing w:before="40" w:after="40" w:line="252" w:lineRule="auto"/>
            </w:pPr>
            <w:r>
              <w:rPr>
                <w:rFonts w:ascii="Arial" w:hAnsi="Arial"/>
                <w:sz w:val="19"/>
              </w:rPr>
              <w:t>Serious adverse effects</w:t>
            </w:r>
          </w:p>
        </w:tc>
        <w:tc>
          <w:tcPr>
            <w:tcW w:type="dxa" w:w="7056"/>
            <w:vAlign w:val="center"/>
            <w:tcMar>
              <w:top w:w="80" w:type="dxa"/>
              <w:start w:w="90" w:type="dxa"/>
              <w:bottom w:w="80" w:type="dxa"/>
              <w:end w:w="90" w:type="dxa"/>
            </w:tcMar>
            <w:shd w:fill="FAFCF5"/>
          </w:tcPr>
          <w:p>
            <w:pPr>
              <w:spacing w:before="40" w:after="40" w:line="252" w:lineRule="auto"/>
            </w:pPr>
            <w:r>
              <w:rPr>
                <w:rFonts w:ascii="Arial" w:hAnsi="Arial"/>
                <w:sz w:val="19"/>
              </w:rPr>
              <w:t>Agranulocytosis, aplastic anaemia, severe cutaneous adverse reactions, hepatic dysfunction, and severe hypersensitivity syndromes.</w:t>
            </w:r>
          </w:p>
        </w:tc>
      </w:tr>
      <w:tr>
        <w:tc>
          <w:tcPr>
            <w:tcW w:type="dxa" w:w="2880"/>
            <w:vAlign w:val="center"/>
            <w:tcMar>
              <w:top w:w="80" w:type="dxa"/>
              <w:start w:w="90" w:type="dxa"/>
              <w:bottom w:w="80" w:type="dxa"/>
              <w:end w:w="90" w:type="dxa"/>
            </w:tcMar>
          </w:tcPr>
          <w:p>
            <w:pPr>
              <w:spacing w:before="40" w:after="40" w:line="252" w:lineRule="auto"/>
            </w:pPr>
            <w:r>
              <w:rPr>
                <w:rFonts w:ascii="Arial" w:hAnsi="Arial"/>
                <w:sz w:val="19"/>
              </w:rPr>
              <w:t>Monitoring</w:t>
            </w:r>
          </w:p>
        </w:tc>
        <w:tc>
          <w:tcPr>
            <w:tcW w:type="dxa" w:w="7056"/>
            <w:vAlign w:val="center"/>
            <w:tcMar>
              <w:top w:w="80" w:type="dxa"/>
              <w:start w:w="90" w:type="dxa"/>
              <w:bottom w:w="80" w:type="dxa"/>
              <w:end w:w="90" w:type="dxa"/>
            </w:tcMar>
          </w:tcPr>
          <w:p>
            <w:pPr>
              <w:spacing w:before="40" w:after="40" w:line="252" w:lineRule="auto"/>
            </w:pPr>
            <w:r>
              <w:rPr>
                <w:rFonts w:ascii="Arial" w:hAnsi="Arial"/>
                <w:sz w:val="19"/>
              </w:rPr>
              <w:t>Baseline and periodic full blood count and liver function tests are sensible; serum drug levels are not routinely required unless toxicity or adherence is uncertain.</w:t>
            </w:r>
          </w:p>
        </w:tc>
      </w:tr>
      <w:tr>
        <w:tc>
          <w:tcPr>
            <w:tcW w:type="dxa" w:w="2880"/>
            <w:vAlign w:val="center"/>
            <w:tcMar>
              <w:top w:w="80" w:type="dxa"/>
              <w:start w:w="90" w:type="dxa"/>
              <w:bottom w:w="80" w:type="dxa"/>
              <w:end w:w="90" w:type="dxa"/>
            </w:tcMar>
            <w:shd w:fill="FAFCF5"/>
          </w:tcPr>
          <w:p>
            <w:pPr>
              <w:spacing w:before="40" w:after="40" w:line="252" w:lineRule="auto"/>
            </w:pPr>
            <w:r>
              <w:rPr>
                <w:rFonts w:ascii="Arial" w:hAnsi="Arial"/>
                <w:sz w:val="19"/>
              </w:rPr>
              <w:t>Genetics</w:t>
            </w:r>
          </w:p>
        </w:tc>
        <w:tc>
          <w:tcPr>
            <w:tcW w:type="dxa" w:w="7056"/>
            <w:vAlign w:val="center"/>
            <w:tcMar>
              <w:top w:w="80" w:type="dxa"/>
              <w:start w:w="90" w:type="dxa"/>
              <w:bottom w:w="80" w:type="dxa"/>
              <w:end w:w="90" w:type="dxa"/>
            </w:tcMar>
            <w:shd w:fill="FAFCF5"/>
          </w:tcPr>
          <w:p>
            <w:pPr>
              <w:spacing w:before="40" w:after="40" w:line="252" w:lineRule="auto"/>
            </w:pPr>
            <w:r>
              <w:rPr>
                <w:rFonts w:ascii="Arial" w:hAnsi="Arial"/>
                <w:sz w:val="19"/>
              </w:rPr>
              <w:t>Screen for HLA-B*15:02 in at-risk East/South-East Asian ancestry groups before starting where appropriate.</w:t>
            </w:r>
          </w:p>
        </w:tc>
      </w:tr>
      <w:tr>
        <w:tc>
          <w:tcPr>
            <w:tcW w:type="dxa" w:w="2880"/>
            <w:vAlign w:val="center"/>
            <w:tcMar>
              <w:top w:w="80" w:type="dxa"/>
              <w:start w:w="90" w:type="dxa"/>
              <w:bottom w:w="80" w:type="dxa"/>
              <w:end w:w="90" w:type="dxa"/>
            </w:tcMar>
          </w:tcPr>
          <w:p>
            <w:pPr>
              <w:spacing w:before="40" w:after="40" w:line="252" w:lineRule="auto"/>
            </w:pPr>
            <w:r>
              <w:rPr>
                <w:rFonts w:ascii="Arial" w:hAnsi="Arial"/>
                <w:sz w:val="19"/>
              </w:rPr>
              <w:t>Pregnancy</w:t>
            </w:r>
          </w:p>
        </w:tc>
        <w:tc>
          <w:tcPr>
            <w:tcW w:type="dxa" w:w="7056"/>
            <w:vAlign w:val="center"/>
            <w:tcMar>
              <w:top w:w="80" w:type="dxa"/>
              <w:start w:w="90" w:type="dxa"/>
              <w:bottom w:w="80" w:type="dxa"/>
              <w:end w:w="90" w:type="dxa"/>
            </w:tcMar>
          </w:tcPr>
          <w:p>
            <w:pPr>
              <w:spacing w:before="40" w:after="40" w:line="252" w:lineRule="auto"/>
            </w:pPr>
            <w:r>
              <w:rPr>
                <w:rFonts w:ascii="Arial" w:hAnsi="Arial"/>
                <w:sz w:val="19"/>
              </w:rPr>
              <w:t>Use caution and discuss teratogenic risk, contraception, and specialist advice where relevant.</w:t>
            </w:r>
          </w:p>
        </w:tc>
      </w:tr>
    </w:tbl>
    <w:p>
      <w:pPr>
        <w:pStyle w:val="Heading2"/>
      </w:pPr>
      <w:r>
        <w:rPr>
          <w:b w:val="0"/>
          <w:i w:val="0"/>
        </w:rPr>
        <w:t>6.3 Alternatives and add-on options when first-line treatment fails or is not tolerated</w:t>
      </w:r>
    </w:p>
    <w:tbl>
      <w:tblPr>
        <w:tblStyle w:val="TableGrid"/>
        <w:tblW w:type="auto" w:w="0"/>
        <w:jc w:val="center"/>
        <w:tblLook w:firstColumn="1" w:firstRow="1" w:lastColumn="0" w:lastRow="0" w:noHBand="0" w:noVBand="1" w:val="04A0"/>
      </w:tblPr>
      <w:tblGrid>
        <w:gridCol w:w="2160"/>
        <w:gridCol w:w="2304"/>
        <w:gridCol w:w="2592"/>
        <w:gridCol w:w="2880"/>
      </w:tblGrid>
      <w:tr>
        <w:trPr>
          <w:tblHeader w:val="true"/>
        </w:trPr>
        <w:tc>
          <w:tcPr>
            <w:tcW w:type="dxa" w:w="2493"/>
            <w:vAlign w:val="center"/>
            <w:tcMar>
              <w:top w:w="80" w:type="dxa"/>
              <w:start w:w="90" w:type="dxa"/>
              <w:bottom w:w="80" w:type="dxa"/>
              <w:end w:w="90" w:type="dxa"/>
            </w:tcMar>
            <w:shd w:fill="D9E8F5"/>
          </w:tcPr>
          <w:p>
            <w:pPr>
              <w:spacing w:before="40" w:after="40" w:line="252" w:lineRule="auto"/>
            </w:pPr>
            <w:r>
              <w:rPr>
                <w:rFonts w:ascii="Arial" w:hAnsi="Arial"/>
                <w:b/>
                <w:sz w:val="19"/>
              </w:rPr>
              <w:t>Medicine</w:t>
            </w:r>
          </w:p>
        </w:tc>
        <w:tc>
          <w:tcPr>
            <w:tcW w:type="dxa" w:w="2493"/>
            <w:vAlign w:val="center"/>
            <w:tcMar>
              <w:top w:w="80" w:type="dxa"/>
              <w:start w:w="90" w:type="dxa"/>
              <w:bottom w:w="80" w:type="dxa"/>
              <w:end w:w="90" w:type="dxa"/>
            </w:tcMar>
            <w:shd w:fill="D9E8F5"/>
          </w:tcPr>
          <w:p>
            <w:pPr>
              <w:spacing w:before="40" w:after="40" w:line="252" w:lineRule="auto"/>
            </w:pPr>
            <w:r>
              <w:rPr>
                <w:rFonts w:ascii="Arial" w:hAnsi="Arial"/>
                <w:b/>
                <w:sz w:val="19"/>
              </w:rPr>
              <w:t>Typical role</w:t>
            </w:r>
          </w:p>
        </w:tc>
        <w:tc>
          <w:tcPr>
            <w:tcW w:type="dxa" w:w="2493"/>
            <w:vAlign w:val="center"/>
            <w:tcMar>
              <w:top w:w="80" w:type="dxa"/>
              <w:start w:w="90" w:type="dxa"/>
              <w:bottom w:w="80" w:type="dxa"/>
              <w:end w:w="90" w:type="dxa"/>
            </w:tcMar>
            <w:shd w:fill="D9E8F5"/>
          </w:tcPr>
          <w:p>
            <w:pPr>
              <w:spacing w:before="40" w:after="40" w:line="252" w:lineRule="auto"/>
            </w:pPr>
            <w:r>
              <w:rPr>
                <w:rFonts w:ascii="Arial" w:hAnsi="Arial"/>
                <w:b/>
                <w:sz w:val="19"/>
              </w:rPr>
              <w:t>Usual practical dose range</w:t>
            </w:r>
          </w:p>
        </w:tc>
        <w:tc>
          <w:tcPr>
            <w:tcW w:type="dxa" w:w="2493"/>
            <w:vAlign w:val="center"/>
            <w:tcMar>
              <w:top w:w="80" w:type="dxa"/>
              <w:start w:w="90" w:type="dxa"/>
              <w:bottom w:w="80" w:type="dxa"/>
              <w:end w:w="90" w:type="dxa"/>
            </w:tcMar>
            <w:shd w:fill="D9E8F5"/>
          </w:tcPr>
          <w:p>
            <w:pPr>
              <w:spacing w:before="40" w:after="40" w:line="252" w:lineRule="auto"/>
            </w:pPr>
            <w:r>
              <w:rPr>
                <w:rFonts w:ascii="Arial" w:hAnsi="Arial"/>
                <w:b/>
                <w:sz w:val="19"/>
              </w:rPr>
              <w:t>Main limitations</w:t>
            </w:r>
          </w:p>
        </w:tc>
      </w:tr>
      <w:tr>
        <w:tc>
          <w:tcPr>
            <w:tcW w:type="dxa" w:w="2160"/>
            <w:vAlign w:val="center"/>
            <w:tcMar>
              <w:top w:w="80" w:type="dxa"/>
              <w:start w:w="90" w:type="dxa"/>
              <w:bottom w:w="80" w:type="dxa"/>
              <w:end w:w="90" w:type="dxa"/>
            </w:tcMar>
          </w:tcPr>
          <w:p>
            <w:pPr>
              <w:spacing w:before="40" w:after="40" w:line="252" w:lineRule="auto"/>
            </w:pPr>
            <w:r>
              <w:rPr>
                <w:rFonts w:ascii="Arial" w:hAnsi="Arial"/>
                <w:sz w:val="19"/>
              </w:rPr>
              <w:t>Lamotrigine</w:t>
            </w:r>
          </w:p>
        </w:tc>
        <w:tc>
          <w:tcPr>
            <w:tcW w:type="dxa" w:w="2304"/>
            <w:vAlign w:val="center"/>
            <w:tcMar>
              <w:top w:w="80" w:type="dxa"/>
              <w:start w:w="90" w:type="dxa"/>
              <w:bottom w:w="80" w:type="dxa"/>
              <w:end w:w="90" w:type="dxa"/>
            </w:tcMar>
          </w:tcPr>
          <w:p>
            <w:pPr>
              <w:spacing w:before="40" w:after="40" w:line="252" w:lineRule="auto"/>
            </w:pPr>
            <w:r>
              <w:rPr>
                <w:rFonts w:ascii="Arial" w:hAnsi="Arial"/>
                <w:sz w:val="19"/>
              </w:rPr>
              <w:t>Add-on or switch option</w:t>
            </w:r>
          </w:p>
        </w:tc>
        <w:tc>
          <w:tcPr>
            <w:tcW w:type="dxa" w:w="2592"/>
            <w:vAlign w:val="center"/>
            <w:tcMar>
              <w:top w:w="80" w:type="dxa"/>
              <w:start w:w="90" w:type="dxa"/>
              <w:bottom w:w="80" w:type="dxa"/>
              <w:end w:w="90" w:type="dxa"/>
            </w:tcMar>
          </w:tcPr>
          <w:p>
            <w:pPr>
              <w:spacing w:before="40" w:after="40" w:line="252" w:lineRule="auto"/>
            </w:pPr>
            <w:r>
              <w:rPr>
                <w:rFonts w:ascii="Arial" w:hAnsi="Arial"/>
                <w:sz w:val="19"/>
              </w:rPr>
              <w:t>Slow titration; often up to 200 mg twice daily in specialist practice</w:t>
            </w:r>
          </w:p>
        </w:tc>
        <w:tc>
          <w:tcPr>
            <w:tcW w:type="dxa" w:w="2880"/>
            <w:vAlign w:val="center"/>
            <w:tcMar>
              <w:top w:w="80" w:type="dxa"/>
              <w:start w:w="90" w:type="dxa"/>
              <w:bottom w:w="80" w:type="dxa"/>
              <w:end w:w="90" w:type="dxa"/>
            </w:tcMar>
          </w:tcPr>
          <w:p>
            <w:pPr>
              <w:spacing w:before="40" w:after="40" w:line="252" w:lineRule="auto"/>
            </w:pPr>
            <w:r>
              <w:rPr>
                <w:rFonts w:ascii="Arial" w:hAnsi="Arial"/>
                <w:sz w:val="19"/>
              </w:rPr>
              <w:t>Very slow titration; rash risk including serious rash</w:t>
            </w:r>
          </w:p>
        </w:tc>
      </w:tr>
      <w:tr>
        <w:tc>
          <w:tcPr>
            <w:tcW w:type="dxa" w:w="2160"/>
            <w:vAlign w:val="center"/>
            <w:tcMar>
              <w:top w:w="80" w:type="dxa"/>
              <w:start w:w="90" w:type="dxa"/>
              <w:bottom w:w="80" w:type="dxa"/>
              <w:end w:w="90" w:type="dxa"/>
            </w:tcMar>
            <w:shd w:fill="F7FAFC"/>
          </w:tcPr>
          <w:p>
            <w:pPr>
              <w:spacing w:before="40" w:after="40" w:line="252" w:lineRule="auto"/>
            </w:pPr>
            <w:r>
              <w:rPr>
                <w:rFonts w:ascii="Arial" w:hAnsi="Arial"/>
                <w:sz w:val="19"/>
              </w:rPr>
              <w:t>Gabapentin</w:t>
            </w:r>
          </w:p>
        </w:tc>
        <w:tc>
          <w:tcPr>
            <w:tcW w:type="dxa" w:w="2304"/>
            <w:vAlign w:val="center"/>
            <w:tcMar>
              <w:top w:w="80" w:type="dxa"/>
              <w:start w:w="90" w:type="dxa"/>
              <w:bottom w:w="80" w:type="dxa"/>
              <w:end w:w="90" w:type="dxa"/>
            </w:tcMar>
            <w:shd w:fill="F7FAFC"/>
          </w:tcPr>
          <w:p>
            <w:pPr>
              <w:spacing w:before="40" w:after="40" w:line="252" w:lineRule="auto"/>
            </w:pPr>
            <w:r>
              <w:rPr>
                <w:rFonts w:ascii="Arial" w:hAnsi="Arial"/>
                <w:sz w:val="19"/>
              </w:rPr>
              <w:t>Alternative or add-on option</w:t>
            </w:r>
          </w:p>
        </w:tc>
        <w:tc>
          <w:tcPr>
            <w:tcW w:type="dxa" w:w="2592"/>
            <w:vAlign w:val="center"/>
            <w:tcMar>
              <w:top w:w="80" w:type="dxa"/>
              <w:start w:w="90" w:type="dxa"/>
              <w:bottom w:w="80" w:type="dxa"/>
              <w:end w:w="90" w:type="dxa"/>
            </w:tcMar>
            <w:shd w:fill="F7FAFC"/>
          </w:tcPr>
          <w:p>
            <w:pPr>
              <w:spacing w:before="40" w:after="40" w:line="252" w:lineRule="auto"/>
            </w:pPr>
            <w:r>
              <w:rPr>
                <w:rFonts w:ascii="Arial" w:hAnsi="Arial"/>
                <w:sz w:val="19"/>
              </w:rPr>
              <w:t>Often titrated from 100–300 mg daily up to 900–2400 mg/day in divided doses</w:t>
            </w:r>
          </w:p>
        </w:tc>
        <w:tc>
          <w:tcPr>
            <w:tcW w:type="dxa" w:w="2880"/>
            <w:vAlign w:val="center"/>
            <w:tcMar>
              <w:top w:w="80" w:type="dxa"/>
              <w:start w:w="90" w:type="dxa"/>
              <w:bottom w:w="80" w:type="dxa"/>
              <w:end w:w="90" w:type="dxa"/>
            </w:tcMar>
            <w:shd w:fill="F7FAFC"/>
          </w:tcPr>
          <w:p>
            <w:pPr>
              <w:spacing w:before="40" w:after="40" w:line="252" w:lineRule="auto"/>
            </w:pPr>
            <w:r>
              <w:rPr>
                <w:rFonts w:ascii="Arial" w:hAnsi="Arial"/>
                <w:sz w:val="19"/>
              </w:rPr>
              <w:t>Sedation, dizziness, weight gain; evidence weaker than first-line therapy</w:t>
            </w:r>
          </w:p>
        </w:tc>
      </w:tr>
      <w:tr>
        <w:tc>
          <w:tcPr>
            <w:tcW w:type="dxa" w:w="2160"/>
            <w:vAlign w:val="center"/>
            <w:tcMar>
              <w:top w:w="80" w:type="dxa"/>
              <w:start w:w="90" w:type="dxa"/>
              <w:bottom w:w="80" w:type="dxa"/>
              <w:end w:w="90" w:type="dxa"/>
            </w:tcMar>
          </w:tcPr>
          <w:p>
            <w:pPr>
              <w:spacing w:before="40" w:after="40" w:line="252" w:lineRule="auto"/>
            </w:pPr>
            <w:r>
              <w:rPr>
                <w:rFonts w:ascii="Arial" w:hAnsi="Arial"/>
                <w:sz w:val="19"/>
              </w:rPr>
              <w:t>Pregabalin</w:t>
            </w:r>
          </w:p>
        </w:tc>
        <w:tc>
          <w:tcPr>
            <w:tcW w:type="dxa" w:w="2304"/>
            <w:vAlign w:val="center"/>
            <w:tcMar>
              <w:top w:w="80" w:type="dxa"/>
              <w:start w:w="90" w:type="dxa"/>
              <w:bottom w:w="80" w:type="dxa"/>
              <w:end w:w="90" w:type="dxa"/>
            </w:tcMar>
          </w:tcPr>
          <w:p>
            <w:pPr>
              <w:spacing w:before="40" w:after="40" w:line="252" w:lineRule="auto"/>
            </w:pPr>
            <w:r>
              <w:rPr>
                <w:rFonts w:ascii="Arial" w:hAnsi="Arial"/>
                <w:sz w:val="19"/>
              </w:rPr>
              <w:t>Alternative or add-on option</w:t>
            </w:r>
          </w:p>
        </w:tc>
        <w:tc>
          <w:tcPr>
            <w:tcW w:type="dxa" w:w="2592"/>
            <w:vAlign w:val="center"/>
            <w:tcMar>
              <w:top w:w="80" w:type="dxa"/>
              <w:start w:w="90" w:type="dxa"/>
              <w:bottom w:w="80" w:type="dxa"/>
              <w:end w:w="90" w:type="dxa"/>
            </w:tcMar>
          </w:tcPr>
          <w:p>
            <w:pPr>
              <w:spacing w:before="40" w:after="40" w:line="252" w:lineRule="auto"/>
            </w:pPr>
            <w:r>
              <w:rPr>
                <w:rFonts w:ascii="Arial" w:hAnsi="Arial"/>
                <w:sz w:val="19"/>
              </w:rPr>
              <w:t>Typically 150–600 mg/day in divided doses</w:t>
            </w:r>
          </w:p>
        </w:tc>
        <w:tc>
          <w:tcPr>
            <w:tcW w:type="dxa" w:w="2880"/>
            <w:vAlign w:val="center"/>
            <w:tcMar>
              <w:top w:w="80" w:type="dxa"/>
              <w:start w:w="90" w:type="dxa"/>
              <w:bottom w:w="80" w:type="dxa"/>
              <w:end w:w="90" w:type="dxa"/>
            </w:tcMar>
          </w:tcPr>
          <w:p>
            <w:pPr>
              <w:spacing w:before="40" w:after="40" w:line="252" w:lineRule="auto"/>
            </w:pPr>
            <w:r>
              <w:rPr>
                <w:rFonts w:ascii="Arial" w:hAnsi="Arial"/>
                <w:sz w:val="19"/>
              </w:rPr>
              <w:t>Sedation, dizziness, weight gain; less robust evidence</w:t>
            </w:r>
          </w:p>
        </w:tc>
      </w:tr>
      <w:tr>
        <w:tc>
          <w:tcPr>
            <w:tcW w:type="dxa" w:w="2160"/>
            <w:vAlign w:val="center"/>
            <w:tcMar>
              <w:top w:w="80" w:type="dxa"/>
              <w:start w:w="90" w:type="dxa"/>
              <w:bottom w:w="80" w:type="dxa"/>
              <w:end w:w="90" w:type="dxa"/>
            </w:tcMar>
            <w:shd w:fill="F7FAFC"/>
          </w:tcPr>
          <w:p>
            <w:pPr>
              <w:spacing w:before="40" w:after="40" w:line="252" w:lineRule="auto"/>
            </w:pPr>
            <w:r>
              <w:rPr>
                <w:rFonts w:ascii="Arial" w:hAnsi="Arial"/>
                <w:sz w:val="19"/>
              </w:rPr>
              <w:t>Baclofen</w:t>
            </w:r>
          </w:p>
        </w:tc>
        <w:tc>
          <w:tcPr>
            <w:tcW w:type="dxa" w:w="2304"/>
            <w:vAlign w:val="center"/>
            <w:tcMar>
              <w:top w:w="80" w:type="dxa"/>
              <w:start w:w="90" w:type="dxa"/>
              <w:bottom w:w="80" w:type="dxa"/>
              <w:end w:w="90" w:type="dxa"/>
            </w:tcMar>
            <w:shd w:fill="F7FAFC"/>
          </w:tcPr>
          <w:p>
            <w:pPr>
              <w:spacing w:before="40" w:after="40" w:line="252" w:lineRule="auto"/>
            </w:pPr>
            <w:r>
              <w:rPr>
                <w:rFonts w:ascii="Arial" w:hAnsi="Arial"/>
                <w:sz w:val="19"/>
              </w:rPr>
              <w:t>Add-on or alternative option</w:t>
            </w:r>
          </w:p>
        </w:tc>
        <w:tc>
          <w:tcPr>
            <w:tcW w:type="dxa" w:w="2592"/>
            <w:vAlign w:val="center"/>
            <w:tcMar>
              <w:top w:w="80" w:type="dxa"/>
              <w:start w:w="90" w:type="dxa"/>
              <w:bottom w:w="80" w:type="dxa"/>
              <w:end w:w="90" w:type="dxa"/>
            </w:tcMar>
            <w:shd w:fill="F7FAFC"/>
          </w:tcPr>
          <w:p>
            <w:pPr>
              <w:spacing w:before="40" w:after="40" w:line="252" w:lineRule="auto"/>
            </w:pPr>
            <w:r>
              <w:rPr>
                <w:rFonts w:ascii="Arial" w:hAnsi="Arial"/>
                <w:sz w:val="19"/>
              </w:rPr>
              <w:t>Usually titrated from 5–10 mg daily up to 60–80 mg/day</w:t>
            </w:r>
          </w:p>
        </w:tc>
        <w:tc>
          <w:tcPr>
            <w:tcW w:type="dxa" w:w="2880"/>
            <w:vAlign w:val="center"/>
            <w:tcMar>
              <w:top w:w="80" w:type="dxa"/>
              <w:start w:w="90" w:type="dxa"/>
              <w:bottom w:w="80" w:type="dxa"/>
              <w:end w:w="90" w:type="dxa"/>
            </w:tcMar>
            <w:shd w:fill="F7FAFC"/>
          </w:tcPr>
          <w:p>
            <w:pPr>
              <w:spacing w:before="40" w:after="40" w:line="252" w:lineRule="auto"/>
            </w:pPr>
            <w:r>
              <w:rPr>
                <w:rFonts w:ascii="Arial" w:hAnsi="Arial"/>
                <w:sz w:val="19"/>
              </w:rPr>
              <w:t>Sedation, nausea, dizziness; withdrawal must be slow</w:t>
            </w:r>
          </w:p>
        </w:tc>
      </w:tr>
      <w:tr>
        <w:tc>
          <w:tcPr>
            <w:tcW w:type="dxa" w:w="2160"/>
            <w:vAlign w:val="center"/>
            <w:tcMar>
              <w:top w:w="80" w:type="dxa"/>
              <w:start w:w="90" w:type="dxa"/>
              <w:bottom w:w="80" w:type="dxa"/>
              <w:end w:w="90" w:type="dxa"/>
            </w:tcMar>
          </w:tcPr>
          <w:p>
            <w:pPr>
              <w:spacing w:before="40" w:after="40" w:line="252" w:lineRule="auto"/>
            </w:pPr>
            <w:r>
              <w:rPr>
                <w:rFonts w:ascii="Arial" w:hAnsi="Arial"/>
                <w:sz w:val="19"/>
              </w:rPr>
              <w:t>Botulinum toxin A</w:t>
            </w:r>
          </w:p>
        </w:tc>
        <w:tc>
          <w:tcPr>
            <w:tcW w:type="dxa" w:w="2304"/>
            <w:vAlign w:val="center"/>
            <w:tcMar>
              <w:top w:w="80" w:type="dxa"/>
              <w:start w:w="90" w:type="dxa"/>
              <w:bottom w:w="80" w:type="dxa"/>
              <w:end w:w="90" w:type="dxa"/>
            </w:tcMar>
          </w:tcPr>
          <w:p>
            <w:pPr>
              <w:spacing w:before="40" w:after="40" w:line="252" w:lineRule="auto"/>
            </w:pPr>
            <w:r>
              <w:rPr>
                <w:rFonts w:ascii="Arial" w:hAnsi="Arial"/>
                <w:sz w:val="19"/>
              </w:rPr>
              <w:t>Selected specialist add-on option</w:t>
            </w:r>
          </w:p>
        </w:tc>
        <w:tc>
          <w:tcPr>
            <w:tcW w:type="dxa" w:w="2592"/>
            <w:vAlign w:val="center"/>
            <w:tcMar>
              <w:top w:w="80" w:type="dxa"/>
              <w:start w:w="90" w:type="dxa"/>
              <w:bottom w:w="80" w:type="dxa"/>
              <w:end w:w="90" w:type="dxa"/>
            </w:tcMar>
          </w:tcPr>
          <w:p>
            <w:pPr>
              <w:spacing w:before="40" w:after="40" w:line="252" w:lineRule="auto"/>
            </w:pPr>
            <w:r>
              <w:rPr>
                <w:rFonts w:ascii="Arial" w:hAnsi="Arial"/>
                <w:sz w:val="19"/>
              </w:rPr>
              <w:t>Dose and injection technique vary</w:t>
            </w:r>
          </w:p>
        </w:tc>
        <w:tc>
          <w:tcPr>
            <w:tcW w:type="dxa" w:w="2880"/>
            <w:vAlign w:val="center"/>
            <w:tcMar>
              <w:top w:w="80" w:type="dxa"/>
              <w:start w:w="90" w:type="dxa"/>
              <w:bottom w:w="80" w:type="dxa"/>
              <w:end w:w="90" w:type="dxa"/>
            </w:tcMar>
          </w:tcPr>
          <w:p>
            <w:pPr>
              <w:spacing w:before="40" w:after="40" w:line="252" w:lineRule="auto"/>
            </w:pPr>
            <w:r>
              <w:rPr>
                <w:rFonts w:ascii="Arial" w:hAnsi="Arial"/>
                <w:sz w:val="19"/>
              </w:rPr>
              <w:t>Evidence remains limited; not a universal routine option</w:t>
            </w:r>
          </w:p>
        </w:tc>
      </w:tr>
      <w:tr>
        <w:tc>
          <w:tcPr>
            <w:tcW w:type="dxa" w:w="2160"/>
            <w:vAlign w:val="center"/>
            <w:tcMar>
              <w:top w:w="80" w:type="dxa"/>
              <w:start w:w="90" w:type="dxa"/>
              <w:bottom w:w="80" w:type="dxa"/>
              <w:end w:w="90" w:type="dxa"/>
            </w:tcMar>
            <w:shd w:fill="F7FAFC"/>
          </w:tcPr>
          <w:p>
            <w:pPr>
              <w:spacing w:before="40" w:after="40" w:line="252" w:lineRule="auto"/>
            </w:pPr>
            <w:r>
              <w:rPr>
                <w:rFonts w:ascii="Arial" w:hAnsi="Arial"/>
                <w:sz w:val="19"/>
              </w:rPr>
              <w:t>Phenytoin / fosphenytoin</w:t>
            </w:r>
          </w:p>
        </w:tc>
        <w:tc>
          <w:tcPr>
            <w:tcW w:type="dxa" w:w="2304"/>
            <w:vAlign w:val="center"/>
            <w:tcMar>
              <w:top w:w="80" w:type="dxa"/>
              <w:start w:w="90" w:type="dxa"/>
              <w:bottom w:w="80" w:type="dxa"/>
              <w:end w:w="90" w:type="dxa"/>
            </w:tcMar>
            <w:shd w:fill="F7FAFC"/>
          </w:tcPr>
          <w:p>
            <w:pPr>
              <w:spacing w:before="40" w:after="40" w:line="252" w:lineRule="auto"/>
            </w:pPr>
            <w:r>
              <w:rPr>
                <w:rFonts w:ascii="Arial" w:hAnsi="Arial"/>
                <w:sz w:val="19"/>
              </w:rPr>
              <w:t>Usually rescue or specialist use</w:t>
            </w:r>
          </w:p>
        </w:tc>
        <w:tc>
          <w:tcPr>
            <w:tcW w:type="dxa" w:w="2592"/>
            <w:vAlign w:val="center"/>
            <w:tcMar>
              <w:top w:w="80" w:type="dxa"/>
              <w:start w:w="90" w:type="dxa"/>
              <w:bottom w:w="80" w:type="dxa"/>
              <w:end w:w="90" w:type="dxa"/>
            </w:tcMar>
            <w:shd w:fill="F7FAFC"/>
          </w:tcPr>
          <w:p>
            <w:pPr>
              <w:spacing w:before="40" w:after="40" w:line="252" w:lineRule="auto"/>
            </w:pPr>
            <w:r>
              <w:rPr>
                <w:rFonts w:ascii="Arial" w:hAnsi="Arial"/>
                <w:sz w:val="19"/>
              </w:rPr>
              <w:t>IV or oral specialist dosing</w:t>
            </w:r>
          </w:p>
        </w:tc>
        <w:tc>
          <w:tcPr>
            <w:tcW w:type="dxa" w:w="2880"/>
            <w:vAlign w:val="center"/>
            <w:tcMar>
              <w:top w:w="80" w:type="dxa"/>
              <w:start w:w="90" w:type="dxa"/>
              <w:bottom w:w="80" w:type="dxa"/>
              <w:end w:w="90" w:type="dxa"/>
            </w:tcMar>
            <w:shd w:fill="F7FAFC"/>
          </w:tcPr>
          <w:p>
            <w:pPr>
              <w:spacing w:before="40" w:after="40" w:line="252" w:lineRule="auto"/>
            </w:pPr>
            <w:r>
              <w:rPr>
                <w:rFonts w:ascii="Arial" w:hAnsi="Arial"/>
                <w:sz w:val="19"/>
              </w:rPr>
              <w:t>Monitoring burden, interaction profile, toxicity</w:t>
            </w:r>
          </w:p>
        </w:tc>
      </w:tr>
    </w:tbl>
    <w:p>
      <w:pPr>
        <w:pStyle w:val="Heading2"/>
      </w:pPr>
      <w:r>
        <w:rPr>
          <w:b w:val="0"/>
          <w:i w:val="0"/>
        </w:rPr>
        <w:t>6.4 Medicines not routinely recommended</w:t>
      </w:r>
    </w:p>
    <w:p>
      <w:pPr>
        <w:pStyle w:val="ListBullet"/>
      </w:pPr>
      <w:r>
        <w:rPr>
          <w:rFonts w:ascii="Arial" w:hAnsi="Arial"/>
          <w:sz w:val="21"/>
        </w:rPr>
        <w:t>Opioids are not indicated for routine TN management.</w:t>
      </w:r>
    </w:p>
    <w:p>
      <w:pPr>
        <w:pStyle w:val="ListBullet"/>
      </w:pPr>
      <w:r>
        <w:rPr>
          <w:rFonts w:ascii="Arial" w:hAnsi="Arial"/>
          <w:sz w:val="21"/>
        </w:rPr>
        <w:t>Do not introduce other drug treatments in primary care without specialist advice if carbamazepine is contraindicated, ineffective, or not tolerated, unless a shared-care pathway already exists.</w:t>
      </w:r>
    </w:p>
    <w:p>
      <w:pPr>
        <w:pStyle w:val="Heading1"/>
      </w:pPr>
      <w:r>
        <w:rPr>
          <w:b w:val="0"/>
          <w:i w:val="0"/>
        </w:rPr>
        <w:t>7. Acute rescue and bridging therapy</w:t>
      </w:r>
    </w:p>
    <w:p>
      <w:pPr/>
      <w:r>
        <w:rPr>
          <w:b w:val="0"/>
          <w:i w:val="0"/>
        </w:rPr>
        <w:t>Some patients need short-term rescue treatment while preventive medicines are being titrated, during acute flares, or while awaiting surgery. Evidence is weaker than for long-term first-line treatment, so these approaches are usually specialist-led or guided by local pathways.</w:t>
      </w:r>
    </w:p>
    <w:tbl>
      <w:tblPr>
        <w:tblStyle w:val="TableGrid"/>
        <w:tblW w:type="auto" w:w="0"/>
        <w:jc w:val="center"/>
        <w:tblLook w:firstColumn="1" w:firstRow="1" w:lastColumn="0" w:lastRow="0" w:noHBand="0" w:noVBand="1" w:val="04A0"/>
      </w:tblPr>
      <w:tblGrid>
        <w:gridCol w:w="2880"/>
        <w:gridCol w:w="3024"/>
        <w:gridCol w:w="4320"/>
      </w:tblGrid>
      <w:tr>
        <w:trPr>
          <w:tblHeader w:val="true"/>
        </w:trPr>
        <w:tc>
          <w:tcPr>
            <w:tcW w:type="dxa" w:w="3324"/>
            <w:vAlign w:val="center"/>
            <w:tcMar>
              <w:top w:w="80" w:type="dxa"/>
              <w:start w:w="90" w:type="dxa"/>
              <w:bottom w:w="80" w:type="dxa"/>
              <w:end w:w="90" w:type="dxa"/>
            </w:tcMar>
            <w:shd w:fill="F5EBD5"/>
          </w:tcPr>
          <w:p>
            <w:pPr>
              <w:spacing w:before="40" w:after="40" w:line="252" w:lineRule="auto"/>
            </w:pPr>
            <w:r>
              <w:rPr>
                <w:rFonts w:ascii="Arial" w:hAnsi="Arial"/>
                <w:b/>
                <w:sz w:val="19"/>
              </w:rPr>
              <w:t>Option</w:t>
            </w:r>
          </w:p>
        </w:tc>
        <w:tc>
          <w:tcPr>
            <w:tcW w:type="dxa" w:w="3324"/>
            <w:vAlign w:val="center"/>
            <w:tcMar>
              <w:top w:w="80" w:type="dxa"/>
              <w:start w:w="90" w:type="dxa"/>
              <w:bottom w:w="80" w:type="dxa"/>
              <w:end w:w="90" w:type="dxa"/>
            </w:tcMar>
            <w:shd w:fill="F5EBD5"/>
          </w:tcPr>
          <w:p>
            <w:pPr>
              <w:spacing w:before="40" w:after="40" w:line="252" w:lineRule="auto"/>
            </w:pPr>
            <w:r>
              <w:rPr>
                <w:rFonts w:ascii="Arial" w:hAnsi="Arial"/>
                <w:b/>
                <w:sz w:val="19"/>
              </w:rPr>
              <w:t>Usual place in care</w:t>
            </w:r>
          </w:p>
        </w:tc>
        <w:tc>
          <w:tcPr>
            <w:tcW w:type="dxa" w:w="3324"/>
            <w:vAlign w:val="center"/>
            <w:tcMar>
              <w:top w:w="80" w:type="dxa"/>
              <w:start w:w="90" w:type="dxa"/>
              <w:bottom w:w="80" w:type="dxa"/>
              <w:end w:w="90" w:type="dxa"/>
            </w:tcMar>
            <w:shd w:fill="F5EBD5"/>
          </w:tcPr>
          <w:p>
            <w:pPr>
              <w:spacing w:before="40" w:after="40" w:line="252" w:lineRule="auto"/>
            </w:pPr>
            <w:r>
              <w:rPr>
                <w:rFonts w:ascii="Arial" w:hAnsi="Arial"/>
                <w:b/>
                <w:sz w:val="19"/>
              </w:rPr>
              <w:t>Comments</w:t>
            </w:r>
          </w:p>
        </w:tc>
      </w:tr>
      <w:tr>
        <w:tc>
          <w:tcPr>
            <w:tcW w:type="dxa" w:w="2880"/>
            <w:vAlign w:val="center"/>
            <w:tcMar>
              <w:top w:w="80" w:type="dxa"/>
              <w:start w:w="90" w:type="dxa"/>
              <w:bottom w:w="80" w:type="dxa"/>
              <w:end w:w="90" w:type="dxa"/>
            </w:tcMar>
          </w:tcPr>
          <w:p>
            <w:pPr>
              <w:spacing w:before="40" w:after="40" w:line="252" w:lineRule="auto"/>
            </w:pPr>
            <w:r>
              <w:rPr>
                <w:rFonts w:ascii="Arial" w:hAnsi="Arial"/>
                <w:sz w:val="19"/>
              </w:rPr>
              <w:t>Short-term dose escalation of preventive drug</w:t>
            </w:r>
          </w:p>
        </w:tc>
        <w:tc>
          <w:tcPr>
            <w:tcW w:type="dxa" w:w="3024"/>
            <w:vAlign w:val="center"/>
            <w:tcMar>
              <w:top w:w="80" w:type="dxa"/>
              <w:start w:w="90" w:type="dxa"/>
              <w:bottom w:w="80" w:type="dxa"/>
              <w:end w:w="90" w:type="dxa"/>
            </w:tcMar>
          </w:tcPr>
          <w:p>
            <w:pPr>
              <w:spacing w:before="40" w:after="40" w:line="252" w:lineRule="auto"/>
            </w:pPr>
            <w:r>
              <w:rPr>
                <w:rFonts w:ascii="Arial" w:hAnsi="Arial"/>
                <w:sz w:val="19"/>
              </w:rPr>
              <w:t>First practical step if not already at maximum tolerated dose</w:t>
            </w:r>
          </w:p>
        </w:tc>
        <w:tc>
          <w:tcPr>
            <w:tcW w:type="dxa" w:w="4320"/>
            <w:vAlign w:val="center"/>
            <w:tcMar>
              <w:top w:w="80" w:type="dxa"/>
              <w:start w:w="90" w:type="dxa"/>
              <w:bottom w:w="80" w:type="dxa"/>
              <w:end w:w="90" w:type="dxa"/>
            </w:tcMar>
          </w:tcPr>
          <w:p>
            <w:pPr>
              <w:spacing w:before="40" w:after="40" w:line="252" w:lineRule="auto"/>
            </w:pPr>
            <w:r>
              <w:rPr>
                <w:rFonts w:ascii="Arial" w:hAnsi="Arial"/>
                <w:sz w:val="19"/>
              </w:rPr>
              <w:t>Often easiest strategy for breakthrough flares.</w:t>
            </w:r>
          </w:p>
        </w:tc>
      </w:tr>
      <w:tr>
        <w:tc>
          <w:tcPr>
            <w:tcW w:type="dxa" w:w="2880"/>
            <w:vAlign w:val="center"/>
            <w:tcMar>
              <w:top w:w="80" w:type="dxa"/>
              <w:start w:w="90" w:type="dxa"/>
              <w:bottom w:w="80" w:type="dxa"/>
              <w:end w:w="90" w:type="dxa"/>
            </w:tcMar>
            <w:shd w:fill="FCF8F1"/>
          </w:tcPr>
          <w:p>
            <w:pPr>
              <w:spacing w:before="40" w:after="40" w:line="252" w:lineRule="auto"/>
            </w:pPr>
            <w:r>
              <w:rPr>
                <w:rFonts w:ascii="Arial" w:hAnsi="Arial"/>
                <w:sz w:val="19"/>
              </w:rPr>
              <w:t>Intranasal or IV lidocaine</w:t>
            </w:r>
          </w:p>
        </w:tc>
        <w:tc>
          <w:tcPr>
            <w:tcW w:type="dxa" w:w="3024"/>
            <w:vAlign w:val="center"/>
            <w:tcMar>
              <w:top w:w="80" w:type="dxa"/>
              <w:start w:w="90" w:type="dxa"/>
              <w:bottom w:w="80" w:type="dxa"/>
              <w:end w:w="90" w:type="dxa"/>
            </w:tcMar>
            <w:shd w:fill="FCF8F1"/>
          </w:tcPr>
          <w:p>
            <w:pPr>
              <w:spacing w:before="40" w:after="40" w:line="252" w:lineRule="auto"/>
            </w:pPr>
            <w:r>
              <w:rPr>
                <w:rFonts w:ascii="Arial" w:hAnsi="Arial"/>
                <w:sz w:val="19"/>
              </w:rPr>
              <w:t>Specialist / acute-care rescue</w:t>
            </w:r>
          </w:p>
        </w:tc>
        <w:tc>
          <w:tcPr>
            <w:tcW w:type="dxa" w:w="4320"/>
            <w:vAlign w:val="center"/>
            <w:tcMar>
              <w:top w:w="80" w:type="dxa"/>
              <w:start w:w="90" w:type="dxa"/>
              <w:bottom w:w="80" w:type="dxa"/>
              <w:end w:w="90" w:type="dxa"/>
            </w:tcMar>
            <w:shd w:fill="FCF8F1"/>
          </w:tcPr>
          <w:p>
            <w:pPr>
              <w:spacing w:before="40" w:after="40" w:line="252" w:lineRule="auto"/>
            </w:pPr>
            <w:r>
              <w:rPr>
                <w:rFonts w:ascii="Arial" w:hAnsi="Arial"/>
                <w:sz w:val="19"/>
              </w:rPr>
              <w:t>Can provide rapid but short-lived relief.</w:t>
            </w:r>
          </w:p>
        </w:tc>
      </w:tr>
      <w:tr>
        <w:tc>
          <w:tcPr>
            <w:tcW w:type="dxa" w:w="2880"/>
            <w:vAlign w:val="center"/>
            <w:tcMar>
              <w:top w:w="80" w:type="dxa"/>
              <w:start w:w="90" w:type="dxa"/>
              <w:bottom w:w="80" w:type="dxa"/>
              <w:end w:w="90" w:type="dxa"/>
            </w:tcMar>
          </w:tcPr>
          <w:p>
            <w:pPr>
              <w:spacing w:before="40" w:after="40" w:line="252" w:lineRule="auto"/>
            </w:pPr>
            <w:r>
              <w:rPr>
                <w:rFonts w:ascii="Arial" w:hAnsi="Arial"/>
                <w:sz w:val="19"/>
              </w:rPr>
              <w:t>IV phenytoin or fosphenytoin</w:t>
            </w:r>
          </w:p>
        </w:tc>
        <w:tc>
          <w:tcPr>
            <w:tcW w:type="dxa" w:w="3024"/>
            <w:vAlign w:val="center"/>
            <w:tcMar>
              <w:top w:w="80" w:type="dxa"/>
              <w:start w:w="90" w:type="dxa"/>
              <w:bottom w:w="80" w:type="dxa"/>
              <w:end w:w="90" w:type="dxa"/>
            </w:tcMar>
          </w:tcPr>
          <w:p>
            <w:pPr>
              <w:spacing w:before="40" w:after="40" w:line="252" w:lineRule="auto"/>
            </w:pPr>
            <w:r>
              <w:rPr>
                <w:rFonts w:ascii="Arial" w:hAnsi="Arial"/>
                <w:sz w:val="19"/>
              </w:rPr>
              <w:t>Specialist rescue</w:t>
            </w:r>
          </w:p>
        </w:tc>
        <w:tc>
          <w:tcPr>
            <w:tcW w:type="dxa" w:w="4320"/>
            <w:vAlign w:val="center"/>
            <w:tcMar>
              <w:top w:w="80" w:type="dxa"/>
              <w:start w:w="90" w:type="dxa"/>
              <w:bottom w:w="80" w:type="dxa"/>
              <w:end w:w="90" w:type="dxa"/>
            </w:tcMar>
          </w:tcPr>
          <w:p>
            <w:pPr>
              <w:spacing w:before="40" w:after="40" w:line="252" w:lineRule="auto"/>
            </w:pPr>
            <w:r>
              <w:rPr>
                <w:rFonts w:ascii="Arial" w:hAnsi="Arial"/>
                <w:sz w:val="19"/>
              </w:rPr>
              <w:t>Used in severe acute exacerbations or hospital settings.</w:t>
            </w:r>
          </w:p>
        </w:tc>
      </w:tr>
      <w:tr>
        <w:tc>
          <w:tcPr>
            <w:tcW w:type="dxa" w:w="2880"/>
            <w:vAlign w:val="center"/>
            <w:tcMar>
              <w:top w:w="80" w:type="dxa"/>
              <w:start w:w="90" w:type="dxa"/>
              <w:bottom w:w="80" w:type="dxa"/>
              <w:end w:w="90" w:type="dxa"/>
            </w:tcMar>
            <w:shd w:fill="FCF8F1"/>
          </w:tcPr>
          <w:p>
            <w:pPr>
              <w:spacing w:before="40" w:after="40" w:line="252" w:lineRule="auto"/>
            </w:pPr>
            <w:r>
              <w:rPr>
                <w:rFonts w:ascii="Arial" w:hAnsi="Arial"/>
                <w:sz w:val="19"/>
              </w:rPr>
              <w:t>IV lacosamide</w:t>
            </w:r>
          </w:p>
        </w:tc>
        <w:tc>
          <w:tcPr>
            <w:tcW w:type="dxa" w:w="3024"/>
            <w:vAlign w:val="center"/>
            <w:tcMar>
              <w:top w:w="80" w:type="dxa"/>
              <w:start w:w="90" w:type="dxa"/>
              <w:bottom w:w="80" w:type="dxa"/>
              <w:end w:w="90" w:type="dxa"/>
            </w:tcMar>
            <w:shd w:fill="FCF8F1"/>
          </w:tcPr>
          <w:p>
            <w:pPr>
              <w:spacing w:before="40" w:after="40" w:line="252" w:lineRule="auto"/>
            </w:pPr>
            <w:r>
              <w:rPr>
                <w:rFonts w:ascii="Arial" w:hAnsi="Arial"/>
                <w:sz w:val="19"/>
              </w:rPr>
              <w:t>Specialist rescue</w:t>
            </w:r>
          </w:p>
        </w:tc>
        <w:tc>
          <w:tcPr>
            <w:tcW w:type="dxa" w:w="4320"/>
            <w:vAlign w:val="center"/>
            <w:tcMar>
              <w:top w:w="80" w:type="dxa"/>
              <w:start w:w="90" w:type="dxa"/>
              <w:bottom w:w="80" w:type="dxa"/>
              <w:end w:w="90" w:type="dxa"/>
            </w:tcMar>
            <w:shd w:fill="FCF8F1"/>
          </w:tcPr>
          <w:p>
            <w:pPr>
              <w:spacing w:before="40" w:after="40" w:line="252" w:lineRule="auto"/>
            </w:pPr>
            <w:r>
              <w:rPr>
                <w:rFonts w:ascii="Arial" w:hAnsi="Arial"/>
                <w:sz w:val="19"/>
              </w:rPr>
              <w:t>Emerging acute-care option with retrospective supportive data.</w:t>
            </w:r>
          </w:p>
        </w:tc>
      </w:tr>
      <w:tr>
        <w:tc>
          <w:tcPr>
            <w:tcW w:type="dxa" w:w="2880"/>
            <w:vAlign w:val="center"/>
            <w:tcMar>
              <w:top w:w="80" w:type="dxa"/>
              <w:start w:w="90" w:type="dxa"/>
              <w:bottom w:w="80" w:type="dxa"/>
              <w:end w:w="90" w:type="dxa"/>
            </w:tcMar>
          </w:tcPr>
          <w:p>
            <w:pPr>
              <w:spacing w:before="40" w:after="40" w:line="252" w:lineRule="auto"/>
            </w:pPr>
            <w:r>
              <w:rPr>
                <w:rFonts w:ascii="Arial" w:hAnsi="Arial"/>
                <w:sz w:val="19"/>
              </w:rPr>
              <w:t>Peripheral nerve block</w:t>
            </w:r>
          </w:p>
        </w:tc>
        <w:tc>
          <w:tcPr>
            <w:tcW w:type="dxa" w:w="3024"/>
            <w:vAlign w:val="center"/>
            <w:tcMar>
              <w:top w:w="80" w:type="dxa"/>
              <w:start w:w="90" w:type="dxa"/>
              <w:bottom w:w="80" w:type="dxa"/>
              <w:end w:w="90" w:type="dxa"/>
            </w:tcMar>
          </w:tcPr>
          <w:p>
            <w:pPr>
              <w:spacing w:before="40" w:after="40" w:line="252" w:lineRule="auto"/>
            </w:pPr>
            <w:r>
              <w:rPr>
                <w:rFonts w:ascii="Arial" w:hAnsi="Arial"/>
                <w:sz w:val="19"/>
              </w:rPr>
              <w:t>Selected specialist or dental/orofacial pain pathway</w:t>
            </w:r>
          </w:p>
        </w:tc>
        <w:tc>
          <w:tcPr>
            <w:tcW w:type="dxa" w:w="4320"/>
            <w:vAlign w:val="center"/>
            <w:tcMar>
              <w:top w:w="80" w:type="dxa"/>
              <w:start w:w="90" w:type="dxa"/>
              <w:bottom w:w="80" w:type="dxa"/>
              <w:end w:w="90" w:type="dxa"/>
            </w:tcMar>
          </w:tcPr>
          <w:p>
            <w:pPr>
              <w:spacing w:before="40" w:after="40" w:line="252" w:lineRule="auto"/>
            </w:pPr>
            <w:r>
              <w:rPr>
                <w:rFonts w:ascii="Arial" w:hAnsi="Arial"/>
                <w:sz w:val="19"/>
              </w:rPr>
              <w:t>May help in carefully selected patients, particularly with trigger-zone dominant disease.</w:t>
            </w:r>
          </w:p>
        </w:tc>
      </w:tr>
    </w:tbl>
    <w:p>
      <w:pPr>
        <w:pStyle w:val="Heading1"/>
      </w:pPr>
      <w:r>
        <w:rPr>
          <w:b w:val="0"/>
          <w:i w:val="0"/>
        </w:rPr>
        <w:t>8. Surgical management</w:t>
      </w:r>
    </w:p>
    <w:p>
      <w:pPr/>
      <w:r>
        <w:rPr>
          <w:b w:val="0"/>
          <w:i w:val="0"/>
        </w:rPr>
        <w:t>Surgical discussion should not be reserved only for the very end stage of disease. UK multidisciplinary guidance explicitly supports early neurosurgical access because many patients value a timely discussion of durable options once medicines are poorly tolerated, increasingly ineffective, or causing major quality-of-life restriction.</w:t>
      </w:r>
    </w:p>
    <w:tbl>
      <w:tblPr>
        <w:tblStyle w:val="TableGrid"/>
        <w:tblW w:type="auto" w:w="0"/>
        <w:jc w:val="center"/>
        <w:tblLook w:firstColumn="1" w:firstRow="1" w:lastColumn="0" w:lastRow="0" w:noHBand="0" w:noVBand="1" w:val="04A0"/>
      </w:tblPr>
      <w:tblGrid>
        <w:gridCol w:w="2592"/>
        <w:gridCol w:w="2160"/>
        <w:gridCol w:w="3168"/>
        <w:gridCol w:w="2448"/>
      </w:tblGrid>
      <w:tr>
        <w:trPr>
          <w:tblHeader w:val="true"/>
        </w:trPr>
        <w:tc>
          <w:tcPr>
            <w:tcW w:type="dxa" w:w="2493"/>
            <w:vAlign w:val="center"/>
            <w:tcMar>
              <w:top w:w="80" w:type="dxa"/>
              <w:start w:w="90" w:type="dxa"/>
              <w:bottom w:w="80" w:type="dxa"/>
              <w:end w:w="90" w:type="dxa"/>
            </w:tcMar>
            <w:shd w:fill="D9E8F5"/>
          </w:tcPr>
          <w:p>
            <w:pPr>
              <w:spacing w:before="40" w:after="40" w:line="252" w:lineRule="auto"/>
            </w:pPr>
            <w:r>
              <w:rPr>
                <w:rFonts w:ascii="Arial" w:hAnsi="Arial"/>
                <w:b/>
                <w:sz w:val="19"/>
              </w:rPr>
              <w:t>Procedure</w:t>
            </w:r>
          </w:p>
        </w:tc>
        <w:tc>
          <w:tcPr>
            <w:tcW w:type="dxa" w:w="2493"/>
            <w:vAlign w:val="center"/>
            <w:tcMar>
              <w:top w:w="80" w:type="dxa"/>
              <w:start w:w="90" w:type="dxa"/>
              <w:bottom w:w="80" w:type="dxa"/>
              <w:end w:w="90" w:type="dxa"/>
            </w:tcMar>
            <w:shd w:fill="D9E8F5"/>
          </w:tcPr>
          <w:p>
            <w:pPr>
              <w:spacing w:before="40" w:after="40" w:line="252" w:lineRule="auto"/>
            </w:pPr>
            <w:r>
              <w:rPr>
                <w:rFonts w:ascii="Arial" w:hAnsi="Arial"/>
                <w:b/>
                <w:sz w:val="19"/>
              </w:rPr>
              <w:t>Best suited to</w:t>
            </w:r>
          </w:p>
        </w:tc>
        <w:tc>
          <w:tcPr>
            <w:tcW w:type="dxa" w:w="2493"/>
            <w:vAlign w:val="center"/>
            <w:tcMar>
              <w:top w:w="80" w:type="dxa"/>
              <w:start w:w="90" w:type="dxa"/>
              <w:bottom w:w="80" w:type="dxa"/>
              <w:end w:w="90" w:type="dxa"/>
            </w:tcMar>
            <w:shd w:fill="D9E8F5"/>
          </w:tcPr>
          <w:p>
            <w:pPr>
              <w:spacing w:before="40" w:after="40" w:line="252" w:lineRule="auto"/>
            </w:pPr>
            <w:r>
              <w:rPr>
                <w:rFonts w:ascii="Arial" w:hAnsi="Arial"/>
                <w:b/>
                <w:sz w:val="19"/>
              </w:rPr>
              <w:t>Advantages</w:t>
            </w:r>
          </w:p>
        </w:tc>
        <w:tc>
          <w:tcPr>
            <w:tcW w:type="dxa" w:w="2493"/>
            <w:vAlign w:val="center"/>
            <w:tcMar>
              <w:top w:w="80" w:type="dxa"/>
              <w:start w:w="90" w:type="dxa"/>
              <w:bottom w:w="80" w:type="dxa"/>
              <w:end w:w="90" w:type="dxa"/>
            </w:tcMar>
            <w:shd w:fill="D9E8F5"/>
          </w:tcPr>
          <w:p>
            <w:pPr>
              <w:spacing w:before="40" w:after="40" w:line="252" w:lineRule="auto"/>
            </w:pPr>
            <w:r>
              <w:rPr>
                <w:rFonts w:ascii="Arial" w:hAnsi="Arial"/>
                <w:b/>
                <w:sz w:val="19"/>
              </w:rPr>
              <w:t>Main trade-offs</w:t>
            </w:r>
          </w:p>
        </w:tc>
      </w:tr>
      <w:tr>
        <w:tc>
          <w:tcPr>
            <w:tcW w:type="dxa" w:w="2592"/>
            <w:vAlign w:val="center"/>
            <w:tcMar>
              <w:top w:w="80" w:type="dxa"/>
              <w:start w:w="90" w:type="dxa"/>
              <w:bottom w:w="80" w:type="dxa"/>
              <w:end w:w="90" w:type="dxa"/>
            </w:tcMar>
          </w:tcPr>
          <w:p>
            <w:pPr>
              <w:spacing w:before="40" w:after="40" w:line="252" w:lineRule="auto"/>
            </w:pPr>
            <w:r>
              <w:rPr>
                <w:rFonts w:ascii="Arial" w:hAnsi="Arial"/>
                <w:sz w:val="19"/>
              </w:rPr>
              <w:t>Microvascular decompression (MVD)</w:t>
            </w:r>
          </w:p>
        </w:tc>
        <w:tc>
          <w:tcPr>
            <w:tcW w:type="dxa" w:w="2160"/>
            <w:vAlign w:val="center"/>
            <w:tcMar>
              <w:top w:w="80" w:type="dxa"/>
              <w:start w:w="90" w:type="dxa"/>
              <w:bottom w:w="80" w:type="dxa"/>
              <w:end w:w="90" w:type="dxa"/>
            </w:tcMar>
          </w:tcPr>
          <w:p>
            <w:pPr>
              <w:spacing w:before="40" w:after="40" w:line="252" w:lineRule="auto"/>
            </w:pPr>
            <w:r>
              <w:rPr>
                <w:rFonts w:ascii="Arial" w:hAnsi="Arial"/>
                <w:sz w:val="19"/>
              </w:rPr>
              <w:t>Classical TN with neurovascular compression and patient fit for posterior fossa surgery</w:t>
            </w:r>
          </w:p>
        </w:tc>
        <w:tc>
          <w:tcPr>
            <w:tcW w:type="dxa" w:w="3168"/>
            <w:vAlign w:val="center"/>
            <w:tcMar>
              <w:top w:w="80" w:type="dxa"/>
              <w:start w:w="90" w:type="dxa"/>
              <w:bottom w:w="80" w:type="dxa"/>
              <w:end w:w="90" w:type="dxa"/>
            </w:tcMar>
          </w:tcPr>
          <w:p>
            <w:pPr>
              <w:spacing w:before="40" w:after="40" w:line="252" w:lineRule="auto"/>
            </w:pPr>
            <w:r>
              <w:rPr>
                <w:rFonts w:ascii="Arial" w:hAnsi="Arial"/>
                <w:sz w:val="19"/>
              </w:rPr>
              <w:t>Best chance of long-term pain freedom; preserves nerve function</w:t>
            </w:r>
          </w:p>
        </w:tc>
        <w:tc>
          <w:tcPr>
            <w:tcW w:type="dxa" w:w="2448"/>
            <w:vAlign w:val="center"/>
            <w:tcMar>
              <w:top w:w="80" w:type="dxa"/>
              <w:start w:w="90" w:type="dxa"/>
              <w:bottom w:w="80" w:type="dxa"/>
              <w:end w:w="90" w:type="dxa"/>
            </w:tcMar>
          </w:tcPr>
          <w:p>
            <w:pPr>
              <w:spacing w:before="40" w:after="40" w:line="252" w:lineRule="auto"/>
            </w:pPr>
            <w:r>
              <w:rPr>
                <w:rFonts w:ascii="Arial" w:hAnsi="Arial"/>
                <w:sz w:val="19"/>
              </w:rPr>
              <w:t>Requires craniotomy; small but real neurosurgical risk</w:t>
            </w:r>
          </w:p>
        </w:tc>
      </w:tr>
      <w:tr>
        <w:tc>
          <w:tcPr>
            <w:tcW w:type="dxa" w:w="2592"/>
            <w:vAlign w:val="center"/>
            <w:tcMar>
              <w:top w:w="80" w:type="dxa"/>
              <w:start w:w="90" w:type="dxa"/>
              <w:bottom w:w="80" w:type="dxa"/>
              <w:end w:w="90" w:type="dxa"/>
            </w:tcMar>
            <w:shd w:fill="F7FAFC"/>
          </w:tcPr>
          <w:p>
            <w:pPr>
              <w:spacing w:before="40" w:after="40" w:line="252" w:lineRule="auto"/>
            </w:pPr>
            <w:r>
              <w:rPr>
                <w:rFonts w:ascii="Arial" w:hAnsi="Arial"/>
                <w:sz w:val="19"/>
              </w:rPr>
              <w:t>Radiofrequency thermocoagulation / balloon compression / glycerol rhizolysis</w:t>
            </w:r>
          </w:p>
        </w:tc>
        <w:tc>
          <w:tcPr>
            <w:tcW w:type="dxa" w:w="2160"/>
            <w:vAlign w:val="center"/>
            <w:tcMar>
              <w:top w:w="80" w:type="dxa"/>
              <w:start w:w="90" w:type="dxa"/>
              <w:bottom w:w="80" w:type="dxa"/>
              <w:end w:w="90" w:type="dxa"/>
            </w:tcMar>
            <w:shd w:fill="F7FAFC"/>
          </w:tcPr>
          <w:p>
            <w:pPr>
              <w:spacing w:before="40" w:after="40" w:line="252" w:lineRule="auto"/>
            </w:pPr>
            <w:r>
              <w:rPr>
                <w:rFonts w:ascii="Arial" w:hAnsi="Arial"/>
                <w:sz w:val="19"/>
              </w:rPr>
              <w:t>Patients unsuitable for or declining open surgery; some idiopathic or secondary cases</w:t>
            </w:r>
          </w:p>
        </w:tc>
        <w:tc>
          <w:tcPr>
            <w:tcW w:type="dxa" w:w="3168"/>
            <w:vAlign w:val="center"/>
            <w:tcMar>
              <w:top w:w="80" w:type="dxa"/>
              <w:start w:w="90" w:type="dxa"/>
              <w:bottom w:w="80" w:type="dxa"/>
              <w:end w:w="90" w:type="dxa"/>
            </w:tcMar>
            <w:shd w:fill="F7FAFC"/>
          </w:tcPr>
          <w:p>
            <w:pPr>
              <w:spacing w:before="40" w:after="40" w:line="252" w:lineRule="auto"/>
            </w:pPr>
            <w:r>
              <w:rPr>
                <w:rFonts w:ascii="Arial" w:hAnsi="Arial"/>
                <w:sz w:val="19"/>
              </w:rPr>
              <w:t>Less invasive and often effective quickly</w:t>
            </w:r>
          </w:p>
        </w:tc>
        <w:tc>
          <w:tcPr>
            <w:tcW w:type="dxa" w:w="2448"/>
            <w:vAlign w:val="center"/>
            <w:tcMar>
              <w:top w:w="80" w:type="dxa"/>
              <w:start w:w="90" w:type="dxa"/>
              <w:bottom w:w="80" w:type="dxa"/>
              <w:end w:w="90" w:type="dxa"/>
            </w:tcMar>
            <w:shd w:fill="F7FAFC"/>
          </w:tcPr>
          <w:p>
            <w:pPr>
              <w:spacing w:before="40" w:after="40" w:line="252" w:lineRule="auto"/>
            </w:pPr>
            <w:r>
              <w:rPr>
                <w:rFonts w:ascii="Arial" w:hAnsi="Arial"/>
                <w:sz w:val="19"/>
              </w:rPr>
              <w:t>Higher facial numbness rate; pain recurrence more common over time</w:t>
            </w:r>
          </w:p>
        </w:tc>
      </w:tr>
      <w:tr>
        <w:tc>
          <w:tcPr>
            <w:tcW w:type="dxa" w:w="2592"/>
            <w:vAlign w:val="center"/>
            <w:tcMar>
              <w:top w:w="80" w:type="dxa"/>
              <w:start w:w="90" w:type="dxa"/>
              <w:bottom w:w="80" w:type="dxa"/>
              <w:end w:w="90" w:type="dxa"/>
            </w:tcMar>
          </w:tcPr>
          <w:p>
            <w:pPr>
              <w:spacing w:before="40" w:after="40" w:line="252" w:lineRule="auto"/>
            </w:pPr>
            <w:r>
              <w:rPr>
                <w:rFonts w:ascii="Arial" w:hAnsi="Arial"/>
                <w:sz w:val="19"/>
              </w:rPr>
              <w:t>Stereotactic radiosurgery</w:t>
            </w:r>
          </w:p>
        </w:tc>
        <w:tc>
          <w:tcPr>
            <w:tcW w:type="dxa" w:w="2160"/>
            <w:vAlign w:val="center"/>
            <w:tcMar>
              <w:top w:w="80" w:type="dxa"/>
              <w:start w:w="90" w:type="dxa"/>
              <w:bottom w:w="80" w:type="dxa"/>
              <w:end w:w="90" w:type="dxa"/>
            </w:tcMar>
          </w:tcPr>
          <w:p>
            <w:pPr>
              <w:spacing w:before="40" w:after="40" w:line="252" w:lineRule="auto"/>
            </w:pPr>
            <w:r>
              <w:rPr>
                <w:rFonts w:ascii="Arial" w:hAnsi="Arial"/>
                <w:sz w:val="19"/>
              </w:rPr>
              <w:t>Patients at higher operative risk or preferring non-open intervention</w:t>
            </w:r>
          </w:p>
        </w:tc>
        <w:tc>
          <w:tcPr>
            <w:tcW w:type="dxa" w:w="3168"/>
            <w:vAlign w:val="center"/>
            <w:tcMar>
              <w:top w:w="80" w:type="dxa"/>
              <w:start w:w="90" w:type="dxa"/>
              <w:bottom w:w="80" w:type="dxa"/>
              <w:end w:w="90" w:type="dxa"/>
            </w:tcMar>
          </w:tcPr>
          <w:p>
            <w:pPr>
              <w:spacing w:before="40" w:after="40" w:line="252" w:lineRule="auto"/>
            </w:pPr>
            <w:r>
              <w:rPr>
                <w:rFonts w:ascii="Arial" w:hAnsi="Arial"/>
                <w:sz w:val="19"/>
              </w:rPr>
              <w:t>Non-incisional option</w:t>
            </w:r>
          </w:p>
        </w:tc>
        <w:tc>
          <w:tcPr>
            <w:tcW w:type="dxa" w:w="2448"/>
            <w:vAlign w:val="center"/>
            <w:tcMar>
              <w:top w:w="80" w:type="dxa"/>
              <w:start w:w="90" w:type="dxa"/>
              <w:bottom w:w="80" w:type="dxa"/>
              <w:end w:w="90" w:type="dxa"/>
            </w:tcMar>
          </w:tcPr>
          <w:p>
            <w:pPr>
              <w:spacing w:before="40" w:after="40" w:line="252" w:lineRule="auto"/>
            </w:pPr>
            <w:r>
              <w:rPr>
                <w:rFonts w:ascii="Arial" w:hAnsi="Arial"/>
                <w:sz w:val="19"/>
              </w:rPr>
              <w:t>Pain relief may be delayed; recurrence and sensory symptoms can occur</w:t>
            </w:r>
          </w:p>
        </w:tc>
      </w:tr>
      <w:tr>
        <w:tc>
          <w:tcPr>
            <w:tcW w:type="dxa" w:w="2592"/>
            <w:vAlign w:val="center"/>
            <w:tcMar>
              <w:top w:w="80" w:type="dxa"/>
              <w:start w:w="90" w:type="dxa"/>
              <w:bottom w:w="80" w:type="dxa"/>
              <w:end w:w="90" w:type="dxa"/>
            </w:tcMar>
            <w:shd w:fill="F7FAFC"/>
          </w:tcPr>
          <w:p>
            <w:pPr>
              <w:spacing w:before="40" w:after="40" w:line="252" w:lineRule="auto"/>
            </w:pPr>
            <w:r>
              <w:rPr>
                <w:rFonts w:ascii="Arial" w:hAnsi="Arial"/>
                <w:sz w:val="19"/>
              </w:rPr>
              <w:t>Procedure for underlying lesion</w:t>
            </w:r>
          </w:p>
        </w:tc>
        <w:tc>
          <w:tcPr>
            <w:tcW w:type="dxa" w:w="2160"/>
            <w:vAlign w:val="center"/>
            <w:tcMar>
              <w:top w:w="80" w:type="dxa"/>
              <w:start w:w="90" w:type="dxa"/>
              <w:bottom w:w="80" w:type="dxa"/>
              <w:end w:w="90" w:type="dxa"/>
            </w:tcMar>
            <w:shd w:fill="F7FAFC"/>
          </w:tcPr>
          <w:p>
            <w:pPr>
              <w:spacing w:before="40" w:after="40" w:line="252" w:lineRule="auto"/>
            </w:pPr>
            <w:r>
              <w:rPr>
                <w:rFonts w:ascii="Arial" w:hAnsi="Arial"/>
                <w:sz w:val="19"/>
              </w:rPr>
              <w:t>Secondary TN due to tumour/AVM/other lesion</w:t>
            </w:r>
          </w:p>
        </w:tc>
        <w:tc>
          <w:tcPr>
            <w:tcW w:type="dxa" w:w="3168"/>
            <w:vAlign w:val="center"/>
            <w:tcMar>
              <w:top w:w="80" w:type="dxa"/>
              <w:start w:w="90" w:type="dxa"/>
              <w:bottom w:w="80" w:type="dxa"/>
              <w:end w:w="90" w:type="dxa"/>
            </w:tcMar>
            <w:shd w:fill="F7FAFC"/>
          </w:tcPr>
          <w:p>
            <w:pPr>
              <w:spacing w:before="40" w:after="40" w:line="252" w:lineRule="auto"/>
            </w:pPr>
            <w:r>
              <w:rPr>
                <w:rFonts w:ascii="Arial" w:hAnsi="Arial"/>
                <w:sz w:val="19"/>
              </w:rPr>
              <w:t>May address root cause</w:t>
            </w:r>
          </w:p>
        </w:tc>
        <w:tc>
          <w:tcPr>
            <w:tcW w:type="dxa" w:w="2448"/>
            <w:vAlign w:val="center"/>
            <w:tcMar>
              <w:top w:w="80" w:type="dxa"/>
              <w:start w:w="90" w:type="dxa"/>
              <w:bottom w:w="80" w:type="dxa"/>
              <w:end w:w="90" w:type="dxa"/>
            </w:tcMar>
            <w:shd w:fill="F7FAFC"/>
          </w:tcPr>
          <w:p>
            <w:pPr>
              <w:spacing w:before="40" w:after="40" w:line="252" w:lineRule="auto"/>
            </w:pPr>
            <w:r>
              <w:rPr>
                <w:rFonts w:ascii="Arial" w:hAnsi="Arial"/>
                <w:sz w:val="19"/>
              </w:rPr>
              <w:t>Depends on lesion type and wider neurosurgical context</w:t>
            </w:r>
          </w:p>
        </w:tc>
      </w:tr>
    </w:tbl>
    <w:p>
      <w:pPr>
        <w:pStyle w:val="Heading2"/>
      </w:pPr>
      <w:r>
        <w:rPr>
          <w:b w:val="0"/>
          <w:i w:val="0"/>
        </w:rPr>
        <w:t>Practical surgical consensus</w:t>
      </w:r>
    </w:p>
    <w:p>
      <w:pPr>
        <w:pStyle w:val="ListBullet"/>
      </w:pPr>
      <w:r>
        <w:rPr>
          <w:rFonts w:ascii="Arial" w:hAnsi="Arial"/>
          <w:sz w:val="21"/>
        </w:rPr>
        <w:t>European and UK multidisciplinary guidance recommend MVD as first-line surgery in classical TN when neurovascular compression with morphological change is demonstrated and the patient is medically fit.</w:t>
      </w:r>
    </w:p>
    <w:p>
      <w:pPr>
        <w:pStyle w:val="ListBullet"/>
      </w:pPr>
      <w:r>
        <w:rPr>
          <w:rFonts w:ascii="Arial" w:hAnsi="Arial"/>
          <w:sz w:val="21"/>
        </w:rPr>
        <w:t>When MRI does not demonstrate neurovascular compression, neuroablative procedures are often preferred over MVD, although individual decision-making remains essential.</w:t>
      </w:r>
    </w:p>
    <w:p>
      <w:pPr>
        <w:pStyle w:val="ListBullet"/>
      </w:pPr>
      <w:r>
        <w:rPr>
          <w:rFonts w:ascii="Arial" w:hAnsi="Arial"/>
          <w:sz w:val="21"/>
        </w:rPr>
        <w:t>Patients should receive written information on likely benefits, recurrence risk, sensory consequences, and postoperative expectations before deciding.</w:t>
      </w:r>
    </w:p>
    <w:p>
      <w:pPr>
        <w:pStyle w:val="Heading1"/>
      </w:pPr>
      <w:r>
        <w:rPr>
          <w:b w:val="0"/>
          <w:i w:val="0"/>
        </w:rPr>
        <w:t>9. Follow-up and monitoring pathway</w:t>
      </w:r>
    </w:p>
    <w:tbl>
      <w:tblPr>
        <w:tblStyle w:val="TableGrid"/>
        <w:tblW w:type="auto" w:w="0"/>
        <w:jc w:val="center"/>
        <w:tblLook w:firstColumn="1" w:firstRow="1" w:lastColumn="0" w:lastRow="0" w:noHBand="0" w:noVBand="1" w:val="04A0"/>
      </w:tblPr>
      <w:tblGrid>
        <w:gridCol w:w="3024"/>
        <w:gridCol w:w="6912"/>
      </w:tblGrid>
      <w:tr>
        <w:trPr>
          <w:tblHeader w:val="true"/>
        </w:trPr>
        <w:tc>
          <w:tcPr>
            <w:tcW w:type="dxa" w:w="4986"/>
            <w:vAlign w:val="center"/>
            <w:tcMar>
              <w:top w:w="80" w:type="dxa"/>
              <w:start w:w="90" w:type="dxa"/>
              <w:bottom w:w="80" w:type="dxa"/>
              <w:end w:w="90" w:type="dxa"/>
            </w:tcMar>
            <w:shd w:fill="D9E8F5"/>
          </w:tcPr>
          <w:p>
            <w:pPr>
              <w:spacing w:before="40" w:after="40" w:line="252" w:lineRule="auto"/>
            </w:pPr>
            <w:r>
              <w:rPr>
                <w:rFonts w:ascii="Arial" w:hAnsi="Arial"/>
                <w:b/>
                <w:sz w:val="19"/>
              </w:rPr>
              <w:t>At review, ask about</w:t>
            </w:r>
          </w:p>
        </w:tc>
        <w:tc>
          <w:tcPr>
            <w:tcW w:type="dxa" w:w="4986"/>
            <w:vAlign w:val="center"/>
            <w:tcMar>
              <w:top w:w="80" w:type="dxa"/>
              <w:start w:w="90" w:type="dxa"/>
              <w:bottom w:w="80" w:type="dxa"/>
              <w:end w:w="90" w:type="dxa"/>
            </w:tcMar>
            <w:shd w:fill="D9E8F5"/>
          </w:tcPr>
          <w:p>
            <w:pPr>
              <w:spacing w:before="40" w:after="40" w:line="252" w:lineRule="auto"/>
            </w:pPr>
            <w:r>
              <w:rPr>
                <w:rFonts w:ascii="Arial" w:hAnsi="Arial"/>
                <w:b/>
                <w:sz w:val="19"/>
              </w:rPr>
              <w:t>What to do</w:t>
            </w:r>
          </w:p>
        </w:tc>
      </w:tr>
      <w:tr>
        <w:tc>
          <w:tcPr>
            <w:tcW w:type="dxa" w:w="3024"/>
            <w:vAlign w:val="center"/>
            <w:tcMar>
              <w:top w:w="80" w:type="dxa"/>
              <w:start w:w="90" w:type="dxa"/>
              <w:bottom w:w="80" w:type="dxa"/>
              <w:end w:w="90" w:type="dxa"/>
            </w:tcMar>
          </w:tcPr>
          <w:p>
            <w:pPr>
              <w:spacing w:before="40" w:after="40" w:line="252" w:lineRule="auto"/>
            </w:pPr>
            <w:r>
              <w:rPr>
                <w:rFonts w:ascii="Arial" w:hAnsi="Arial"/>
                <w:sz w:val="19"/>
              </w:rPr>
              <w:t>Current dose and titration understanding</w:t>
            </w:r>
          </w:p>
        </w:tc>
        <w:tc>
          <w:tcPr>
            <w:tcW w:type="dxa" w:w="6912"/>
            <w:vAlign w:val="center"/>
            <w:tcMar>
              <w:top w:w="80" w:type="dxa"/>
              <w:start w:w="90" w:type="dxa"/>
              <w:bottom w:w="80" w:type="dxa"/>
              <w:end w:w="90" w:type="dxa"/>
            </w:tcMar>
          </w:tcPr>
          <w:p>
            <w:pPr>
              <w:spacing w:before="40" w:after="40" w:line="252" w:lineRule="auto"/>
            </w:pPr>
            <w:r>
              <w:rPr>
                <w:rFonts w:ascii="Arial" w:hAnsi="Arial"/>
                <w:sz w:val="19"/>
              </w:rPr>
              <w:t>Confirm exactly what the patient is taking and whether they understand dose escalation and rescue instructions.</w:t>
            </w:r>
          </w:p>
        </w:tc>
      </w:tr>
      <w:tr>
        <w:tc>
          <w:tcPr>
            <w:tcW w:type="dxa" w:w="3024"/>
            <w:vAlign w:val="center"/>
            <w:tcMar>
              <w:top w:w="80" w:type="dxa"/>
              <w:start w:w="90" w:type="dxa"/>
              <w:bottom w:w="80" w:type="dxa"/>
              <w:end w:w="90" w:type="dxa"/>
            </w:tcMar>
            <w:shd w:fill="F7FAFC"/>
          </w:tcPr>
          <w:p>
            <w:pPr>
              <w:spacing w:before="40" w:after="40" w:line="252" w:lineRule="auto"/>
            </w:pPr>
            <w:r>
              <w:rPr>
                <w:rFonts w:ascii="Arial" w:hAnsi="Arial"/>
                <w:sz w:val="19"/>
              </w:rPr>
              <w:t>Pain control</w:t>
            </w:r>
          </w:p>
        </w:tc>
        <w:tc>
          <w:tcPr>
            <w:tcW w:type="dxa" w:w="6912"/>
            <w:vAlign w:val="center"/>
            <w:tcMar>
              <w:top w:w="80" w:type="dxa"/>
              <w:start w:w="90" w:type="dxa"/>
              <w:bottom w:w="80" w:type="dxa"/>
              <w:end w:w="90" w:type="dxa"/>
            </w:tcMar>
            <w:shd w:fill="F7FAFC"/>
          </w:tcPr>
          <w:p>
            <w:pPr>
              <w:spacing w:before="40" w:after="40" w:line="252" w:lineRule="auto"/>
            </w:pPr>
            <w:r>
              <w:rPr>
                <w:rFonts w:ascii="Arial" w:hAnsi="Arial"/>
                <w:sz w:val="19"/>
              </w:rPr>
              <w:t>Assess attack frequency, severity, triggers, background pain, and whether eating, drinking, oral hygiene, speech, sleep, and work are affected.</w:t>
            </w:r>
          </w:p>
        </w:tc>
      </w:tr>
      <w:tr>
        <w:tc>
          <w:tcPr>
            <w:tcW w:type="dxa" w:w="3024"/>
            <w:vAlign w:val="center"/>
            <w:tcMar>
              <w:top w:w="80" w:type="dxa"/>
              <w:start w:w="90" w:type="dxa"/>
              <w:bottom w:w="80" w:type="dxa"/>
              <w:end w:w="90" w:type="dxa"/>
            </w:tcMar>
          </w:tcPr>
          <w:p>
            <w:pPr>
              <w:spacing w:before="40" w:after="40" w:line="252" w:lineRule="auto"/>
            </w:pPr>
            <w:r>
              <w:rPr>
                <w:rFonts w:ascii="Arial" w:hAnsi="Arial"/>
                <w:sz w:val="19"/>
              </w:rPr>
              <w:t>Adverse effects</w:t>
            </w:r>
          </w:p>
        </w:tc>
        <w:tc>
          <w:tcPr>
            <w:tcW w:type="dxa" w:w="6912"/>
            <w:vAlign w:val="center"/>
            <w:tcMar>
              <w:top w:w="80" w:type="dxa"/>
              <w:start w:w="90" w:type="dxa"/>
              <w:bottom w:w="80" w:type="dxa"/>
              <w:end w:w="90" w:type="dxa"/>
            </w:tcMar>
          </w:tcPr>
          <w:p>
            <w:pPr>
              <w:spacing w:before="40" w:after="40" w:line="252" w:lineRule="auto"/>
            </w:pPr>
            <w:r>
              <w:rPr>
                <w:rFonts w:ascii="Arial" w:hAnsi="Arial"/>
                <w:sz w:val="19"/>
              </w:rPr>
              <w:t>Ask whether dizziness, sedation, nausea, diplopia, rash, low mood, or confusion improve after each dose step or remain dose limiting.</w:t>
            </w:r>
          </w:p>
        </w:tc>
      </w:tr>
      <w:tr>
        <w:tc>
          <w:tcPr>
            <w:tcW w:type="dxa" w:w="3024"/>
            <w:vAlign w:val="center"/>
            <w:tcMar>
              <w:top w:w="80" w:type="dxa"/>
              <w:start w:w="90" w:type="dxa"/>
              <w:bottom w:w="80" w:type="dxa"/>
              <w:end w:w="90" w:type="dxa"/>
            </w:tcMar>
            <w:shd w:fill="F7FAFC"/>
          </w:tcPr>
          <w:p>
            <w:pPr>
              <w:spacing w:before="40" w:after="40" w:line="252" w:lineRule="auto"/>
            </w:pPr>
            <w:r>
              <w:rPr>
                <w:rFonts w:ascii="Arial" w:hAnsi="Arial"/>
                <w:sz w:val="19"/>
              </w:rPr>
              <w:t>Mood and coping</w:t>
            </w:r>
          </w:p>
        </w:tc>
        <w:tc>
          <w:tcPr>
            <w:tcW w:type="dxa" w:w="6912"/>
            <w:vAlign w:val="center"/>
            <w:tcMar>
              <w:top w:w="80" w:type="dxa"/>
              <w:start w:w="90" w:type="dxa"/>
              <w:bottom w:w="80" w:type="dxa"/>
              <w:end w:w="90" w:type="dxa"/>
            </w:tcMar>
            <w:shd w:fill="F7FAFC"/>
          </w:tcPr>
          <w:p>
            <w:pPr>
              <w:spacing w:before="40" w:after="40" w:line="252" w:lineRule="auto"/>
            </w:pPr>
            <w:r>
              <w:rPr>
                <w:rFonts w:ascii="Arial" w:hAnsi="Arial"/>
                <w:sz w:val="19"/>
              </w:rPr>
              <w:t>Screen for anxiety, depression, hopelessness, and social withdrawal.</w:t>
            </w:r>
          </w:p>
        </w:tc>
      </w:tr>
      <w:tr>
        <w:tc>
          <w:tcPr>
            <w:tcW w:type="dxa" w:w="3024"/>
            <w:vAlign w:val="center"/>
            <w:tcMar>
              <w:top w:w="80" w:type="dxa"/>
              <w:start w:w="90" w:type="dxa"/>
              <w:bottom w:w="80" w:type="dxa"/>
              <w:end w:w="90" w:type="dxa"/>
            </w:tcMar>
          </w:tcPr>
          <w:p>
            <w:pPr>
              <w:spacing w:before="40" w:after="40" w:line="252" w:lineRule="auto"/>
            </w:pPr>
            <w:r>
              <w:rPr>
                <w:rFonts w:ascii="Arial" w:hAnsi="Arial"/>
                <w:sz w:val="19"/>
              </w:rPr>
              <w:t>Blood-test or safety issues</w:t>
            </w:r>
          </w:p>
        </w:tc>
        <w:tc>
          <w:tcPr>
            <w:tcW w:type="dxa" w:w="6912"/>
            <w:vAlign w:val="center"/>
            <w:tcMar>
              <w:top w:w="80" w:type="dxa"/>
              <w:start w:w="90" w:type="dxa"/>
              <w:bottom w:w="80" w:type="dxa"/>
              <w:end w:w="90" w:type="dxa"/>
            </w:tcMar>
          </w:tcPr>
          <w:p>
            <w:pPr>
              <w:spacing w:before="40" w:after="40" w:line="252" w:lineRule="auto"/>
            </w:pPr>
            <w:r>
              <w:rPr>
                <w:rFonts w:ascii="Arial" w:hAnsi="Arial"/>
                <w:sz w:val="19"/>
              </w:rPr>
              <w:t>Review FBC/LFT results where relevant and ask specifically about fever, sore throat, rash, bruising, or jaundice.</w:t>
            </w:r>
          </w:p>
        </w:tc>
      </w:tr>
      <w:tr>
        <w:tc>
          <w:tcPr>
            <w:tcW w:type="dxa" w:w="3024"/>
            <w:vAlign w:val="center"/>
            <w:tcMar>
              <w:top w:w="80" w:type="dxa"/>
              <w:start w:w="90" w:type="dxa"/>
              <w:bottom w:w="80" w:type="dxa"/>
              <w:end w:w="90" w:type="dxa"/>
            </w:tcMar>
            <w:shd w:fill="F7FAFC"/>
          </w:tcPr>
          <w:p>
            <w:pPr>
              <w:spacing w:before="40" w:after="40" w:line="252" w:lineRule="auto"/>
            </w:pPr>
            <w:r>
              <w:rPr>
                <w:rFonts w:ascii="Arial" w:hAnsi="Arial"/>
                <w:sz w:val="19"/>
              </w:rPr>
              <w:t>Need for referral escalation</w:t>
            </w:r>
          </w:p>
        </w:tc>
        <w:tc>
          <w:tcPr>
            <w:tcW w:type="dxa" w:w="6912"/>
            <w:vAlign w:val="center"/>
            <w:tcMar>
              <w:top w:w="80" w:type="dxa"/>
              <w:start w:w="90" w:type="dxa"/>
              <w:bottom w:w="80" w:type="dxa"/>
              <w:end w:w="90" w:type="dxa"/>
            </w:tcMar>
            <w:shd w:fill="F7FAFC"/>
          </w:tcPr>
          <w:p>
            <w:pPr>
              <w:spacing w:before="40" w:after="40" w:line="252" w:lineRule="auto"/>
            </w:pPr>
            <w:r>
              <w:rPr>
                <w:rFonts w:ascii="Arial" w:hAnsi="Arial"/>
                <w:sz w:val="19"/>
              </w:rPr>
              <w:t>Refer early if pain remains uncontrolled at the maximum tolerated dose, if the patient has severe disability, or if atypical features emerge.</w:t>
            </w:r>
          </w:p>
        </w:tc>
      </w:tr>
    </w:tbl>
    <w:p>
      <w:pPr>
        <w:pStyle w:val="Heading2"/>
      </w:pPr>
      <w:r>
        <w:rPr>
          <w:b w:val="0"/>
          <w:i w:val="0"/>
        </w:rPr>
        <w:t>Suggested follow-up timing</w:t>
      </w:r>
    </w:p>
    <w:p>
      <w:pPr>
        <w:pStyle w:val="ListBullet"/>
      </w:pPr>
      <w:r>
        <w:rPr>
          <w:rFonts w:ascii="Arial" w:hAnsi="Arial"/>
          <w:sz w:val="21"/>
        </w:rPr>
        <w:t>Early review after starting or changing treatment should be arranged, with timing based on pain severity and speed of titration.</w:t>
      </w:r>
    </w:p>
    <w:p>
      <w:pPr>
        <w:pStyle w:val="ListBullet"/>
      </w:pPr>
      <w:r>
        <w:rPr>
          <w:rFonts w:ascii="Arial" w:hAnsi="Arial"/>
          <w:sz w:val="21"/>
        </w:rPr>
        <w:t>Stable patients still require periodic review because control often waxes and wanes, drug toxicity can emerge, and surgical preferences may change over time.</w:t>
      </w:r>
    </w:p>
    <w:p>
      <w:pPr>
        <w:pStyle w:val="ListBullet"/>
      </w:pPr>
      <w:r>
        <w:rPr>
          <w:rFonts w:ascii="Arial" w:hAnsi="Arial"/>
          <w:sz w:val="21"/>
        </w:rPr>
        <w:t>If pain has fully remitted, a gradual dose reduction can be considered after a sustained pain-free period; many UK pathways use at least 4 weeks of remission as a practical threshold, while some specialist sources wait longer.</w:t>
      </w:r>
    </w:p>
    <w:p>
      <w:pPr>
        <w:pStyle w:val="Heading1"/>
      </w:pPr>
      <w:r>
        <w:rPr>
          <w:b w:val="0"/>
          <w:i w:val="0"/>
        </w:rPr>
        <w:t>10. Practical care pathway by setting</w:t>
      </w:r>
    </w:p>
    <w:p>
      <w:pPr>
        <w:pStyle w:val="Heading2"/>
      </w:pPr>
      <w:r>
        <w:rPr>
          <w:b w:val="0"/>
          <w:i w:val="0"/>
        </w:rPr>
        <w:t>Primary care responsibilities</w:t>
      </w:r>
    </w:p>
    <w:p>
      <w:pPr>
        <w:pStyle w:val="ListBullet"/>
      </w:pPr>
      <w:r>
        <w:rPr>
          <w:rFonts w:ascii="Arial" w:hAnsi="Arial"/>
          <w:sz w:val="21"/>
        </w:rPr>
        <w:t>Recognise likely TN from the history, document triggers and distribution, and check for red flags.</w:t>
      </w:r>
    </w:p>
    <w:p>
      <w:pPr>
        <w:pStyle w:val="ListBullet"/>
      </w:pPr>
      <w:r>
        <w:rPr>
          <w:rFonts w:ascii="Arial" w:hAnsi="Arial"/>
          <w:sz w:val="21"/>
        </w:rPr>
        <w:t>Start carbamazepine if appropriate, provide explicit titration instructions, and organise baseline blood tests as indicated.</w:t>
      </w:r>
    </w:p>
    <w:p>
      <w:pPr>
        <w:pStyle w:val="ListBullet"/>
      </w:pPr>
      <w:r>
        <w:rPr>
          <w:rFonts w:ascii="Arial" w:hAnsi="Arial"/>
          <w:sz w:val="21"/>
        </w:rPr>
        <w:t>Refer for specialist assessment and imaging rather than managing indefinitely without diagnostic confirmation.</w:t>
      </w:r>
    </w:p>
    <w:p>
      <w:pPr>
        <w:pStyle w:val="ListBullet"/>
      </w:pPr>
      <w:r>
        <w:rPr>
          <w:rFonts w:ascii="Arial" w:hAnsi="Arial"/>
          <w:sz w:val="21"/>
        </w:rPr>
        <w:t>Do not rely on opioids or repeated non-specific analgesics.</w:t>
      </w:r>
    </w:p>
    <w:p>
      <w:pPr>
        <w:pStyle w:val="Heading2"/>
      </w:pPr>
      <w:r>
        <w:rPr>
          <w:b w:val="0"/>
          <w:i w:val="0"/>
        </w:rPr>
        <w:t>Specialist responsibilities</w:t>
      </w:r>
    </w:p>
    <w:p>
      <w:pPr>
        <w:pStyle w:val="ListBullet"/>
      </w:pPr>
      <w:r>
        <w:rPr>
          <w:rFonts w:ascii="Arial" w:hAnsi="Arial"/>
          <w:sz w:val="21"/>
        </w:rPr>
        <w:t>Confirm phenotype, arrange/interpret high-resolution imaging, and distinguish classical, secondary, and idiopathic TN.</w:t>
      </w:r>
    </w:p>
    <w:p>
      <w:pPr>
        <w:pStyle w:val="ListBullet"/>
      </w:pPr>
      <w:r>
        <w:rPr>
          <w:rFonts w:ascii="Arial" w:hAnsi="Arial"/>
          <w:sz w:val="21"/>
        </w:rPr>
        <w:t>Optimise second-line/add-on medicines where needed and discuss rescue options for crisis periods.</w:t>
      </w:r>
    </w:p>
    <w:p>
      <w:pPr>
        <w:pStyle w:val="ListBullet"/>
      </w:pPr>
      <w:r>
        <w:rPr>
          <w:rFonts w:ascii="Arial" w:hAnsi="Arial"/>
          <w:sz w:val="21"/>
        </w:rPr>
        <w:t>Refer promptly to neurosurgery when medical therapy is inadequate, poorly tolerated, or unacceptable to the patient.</w:t>
      </w:r>
    </w:p>
    <w:p>
      <w:pPr>
        <w:pStyle w:val="ListBullet"/>
      </w:pPr>
      <w:r>
        <w:rPr>
          <w:rFonts w:ascii="Arial" w:hAnsi="Arial"/>
          <w:sz w:val="21"/>
        </w:rPr>
        <w:t>Coordinate dental, pain, psychology, and neurosurgical input where needed.</w:t>
      </w:r>
    </w:p>
    <w:p>
      <w:pPr>
        <w:pStyle w:val="Heading1"/>
      </w:pPr>
      <w:r>
        <w:rPr>
          <w:b w:val="0"/>
          <w:i w:val="0"/>
        </w:rPr>
        <w:t>11. Special situations</w:t>
      </w:r>
    </w:p>
    <w:p>
      <w:pPr>
        <w:pStyle w:val="Heading2"/>
      </w:pPr>
      <w:r>
        <w:rPr>
          <w:b w:val="0"/>
          <w:i w:val="0"/>
        </w:rPr>
        <w:t>Pregnancy and women of childbearing potential</w:t>
      </w:r>
    </w:p>
    <w:p>
      <w:pPr/>
      <w:r>
        <w:rPr>
          <w:b w:val="0"/>
          <w:i w:val="0"/>
        </w:rPr>
        <w:t>Carbamazepine has known teratogenic risk, and oxcarbazepine pregnancy risk remains less certain. Decisions in women who may become pregnant should be individualised with explicit counselling and, where possible, specialist input before long-term therapy is established.</w:t>
      </w:r>
    </w:p>
    <w:p>
      <w:pPr>
        <w:pStyle w:val="Heading2"/>
      </w:pPr>
      <w:r>
        <w:rPr>
          <w:b w:val="0"/>
          <w:i w:val="0"/>
        </w:rPr>
        <w:t>Older adults</w:t>
      </w:r>
    </w:p>
    <w:p>
      <w:pPr/>
      <w:r>
        <w:rPr>
          <w:b w:val="0"/>
          <w:i w:val="0"/>
        </w:rPr>
        <w:t>Older adults often respond well to treatment but are more vulnerable to dizziness, ataxia, hyponatraemia, polypharmacy interactions, and falls. Slower titration and closer biochemical monitoring are often sensible.</w:t>
      </w:r>
    </w:p>
    <w:p>
      <w:pPr>
        <w:pStyle w:val="Heading2"/>
      </w:pPr>
      <w:r>
        <w:rPr>
          <w:b w:val="0"/>
          <w:i w:val="0"/>
        </w:rPr>
        <w:t>Multiple sclerosis or other secondary TN</w:t>
      </w:r>
    </w:p>
    <w:p>
      <w:pPr/>
      <w:r>
        <w:rPr>
          <w:b w:val="0"/>
          <w:i w:val="0"/>
        </w:rPr>
        <w:t>Symptomatic drug treatment usually follows the same broad principles as primary TN, but management must also address the underlying disease process and lesion-directed decisions.</w:t>
      </w:r>
    </w:p>
    <w:p>
      <w:pPr>
        <w:pStyle w:val="Heading1"/>
      </w:pPr>
      <w:r>
        <w:rPr>
          <w:b w:val="0"/>
          <w:i w:val="0"/>
        </w:rPr>
        <w:t>12. Integrated summary of what the guideline bodies broadly agree on</w:t>
      </w:r>
    </w:p>
    <w:tbl>
      <w:tblPr>
        <w:tblStyle w:val="TableGrid"/>
        <w:tblW w:type="auto" w:w="0"/>
        <w:jc w:val="center"/>
        <w:tblLook w:firstColumn="1" w:firstRow="1" w:lastColumn="0" w:lastRow="0" w:noHBand="0" w:noVBand="1" w:val="04A0"/>
      </w:tblPr>
      <w:tblGrid>
        <w:gridCol w:w="1728"/>
        <w:gridCol w:w="2448"/>
        <w:gridCol w:w="2592"/>
        <w:gridCol w:w="3312"/>
      </w:tblGrid>
      <w:tr>
        <w:trPr>
          <w:tblHeader w:val="true"/>
        </w:trPr>
        <w:tc>
          <w:tcPr>
            <w:tcW w:type="dxa" w:w="2493"/>
            <w:vAlign w:val="center"/>
            <w:tcMar>
              <w:top w:w="80" w:type="dxa"/>
              <w:start w:w="90" w:type="dxa"/>
              <w:bottom w:w="80" w:type="dxa"/>
              <w:end w:w="90" w:type="dxa"/>
            </w:tcMar>
            <w:shd w:fill="DCE6F2"/>
          </w:tcPr>
          <w:p>
            <w:pPr>
              <w:spacing w:before="40" w:after="40" w:line="252" w:lineRule="auto"/>
            </w:pPr>
            <w:r>
              <w:rPr>
                <w:rFonts w:ascii="Arial" w:hAnsi="Arial"/>
                <w:b/>
                <w:sz w:val="19"/>
              </w:rPr>
              <w:t>Area</w:t>
            </w:r>
          </w:p>
        </w:tc>
        <w:tc>
          <w:tcPr>
            <w:tcW w:type="dxa" w:w="2493"/>
            <w:vAlign w:val="center"/>
            <w:tcMar>
              <w:top w:w="80" w:type="dxa"/>
              <w:start w:w="90" w:type="dxa"/>
              <w:bottom w:w="80" w:type="dxa"/>
              <w:end w:w="90" w:type="dxa"/>
            </w:tcMar>
            <w:shd w:fill="DCE6F2"/>
          </w:tcPr>
          <w:p>
            <w:pPr>
              <w:spacing w:before="40" w:after="40" w:line="252" w:lineRule="auto"/>
            </w:pPr>
            <w:r>
              <w:rPr>
                <w:rFonts w:ascii="Arial" w:hAnsi="Arial"/>
                <w:b/>
                <w:sz w:val="19"/>
              </w:rPr>
              <w:t>NICE/UK practice</w:t>
            </w:r>
          </w:p>
        </w:tc>
        <w:tc>
          <w:tcPr>
            <w:tcW w:type="dxa" w:w="2493"/>
            <w:vAlign w:val="center"/>
            <w:tcMar>
              <w:top w:w="80" w:type="dxa"/>
              <w:start w:w="90" w:type="dxa"/>
              <w:bottom w:w="80" w:type="dxa"/>
              <w:end w:w="90" w:type="dxa"/>
            </w:tcMar>
            <w:shd w:fill="DCE6F2"/>
          </w:tcPr>
          <w:p>
            <w:pPr>
              <w:spacing w:before="40" w:after="40" w:line="252" w:lineRule="auto"/>
            </w:pPr>
            <w:r>
              <w:rPr>
                <w:rFonts w:ascii="Arial" w:hAnsi="Arial"/>
                <w:b/>
                <w:sz w:val="19"/>
              </w:rPr>
              <w:t>European guidance</w:t>
            </w:r>
          </w:p>
        </w:tc>
        <w:tc>
          <w:tcPr>
            <w:tcW w:type="dxa" w:w="2493"/>
            <w:vAlign w:val="center"/>
            <w:tcMar>
              <w:top w:w="80" w:type="dxa"/>
              <w:start w:w="90" w:type="dxa"/>
              <w:bottom w:w="80" w:type="dxa"/>
              <w:end w:w="90" w:type="dxa"/>
            </w:tcMar>
            <w:shd w:fill="DCE6F2"/>
          </w:tcPr>
          <w:p>
            <w:pPr>
              <w:spacing w:before="40" w:after="40" w:line="252" w:lineRule="auto"/>
            </w:pPr>
            <w:r>
              <w:rPr>
                <w:rFonts w:ascii="Arial" w:hAnsi="Arial"/>
                <w:b/>
                <w:sz w:val="19"/>
              </w:rPr>
              <w:t>American guidance</w:t>
            </w:r>
          </w:p>
        </w:tc>
      </w:tr>
      <w:tr>
        <w:tc>
          <w:tcPr>
            <w:tcW w:type="dxa" w:w="1728"/>
            <w:vAlign w:val="center"/>
            <w:tcMar>
              <w:top w:w="80" w:type="dxa"/>
              <w:start w:w="90" w:type="dxa"/>
              <w:bottom w:w="80" w:type="dxa"/>
              <w:end w:w="90" w:type="dxa"/>
            </w:tcMar>
          </w:tcPr>
          <w:p>
            <w:pPr>
              <w:spacing w:before="40" w:after="40" w:line="252" w:lineRule="auto"/>
            </w:pPr>
            <w:r>
              <w:rPr>
                <w:rFonts w:ascii="Arial" w:hAnsi="Arial"/>
                <w:sz w:val="19"/>
              </w:rPr>
              <w:t>Diagnosis</w:t>
            </w:r>
          </w:p>
        </w:tc>
        <w:tc>
          <w:tcPr>
            <w:tcW w:type="dxa" w:w="2448"/>
            <w:vAlign w:val="center"/>
            <w:tcMar>
              <w:top w:w="80" w:type="dxa"/>
              <w:start w:w="90" w:type="dxa"/>
              <w:bottom w:w="80" w:type="dxa"/>
              <w:end w:w="90" w:type="dxa"/>
            </w:tcMar>
          </w:tcPr>
          <w:p>
            <w:pPr>
              <w:spacing w:before="40" w:after="40" w:line="252" w:lineRule="auto"/>
            </w:pPr>
            <w:r>
              <w:rPr>
                <w:rFonts w:ascii="Arial" w:hAnsi="Arial"/>
                <w:sz w:val="19"/>
              </w:rPr>
              <w:t>Positive clinical diagnosis plus specialist referral; MRI expected in suspected TN</w:t>
            </w:r>
          </w:p>
        </w:tc>
        <w:tc>
          <w:tcPr>
            <w:tcW w:type="dxa" w:w="2592"/>
            <w:vAlign w:val="center"/>
            <w:tcMar>
              <w:top w:w="80" w:type="dxa"/>
              <w:start w:w="90" w:type="dxa"/>
              <w:bottom w:w="80" w:type="dxa"/>
              <w:end w:w="90" w:type="dxa"/>
            </w:tcMar>
          </w:tcPr>
          <w:p>
            <w:pPr>
              <w:spacing w:before="40" w:after="40" w:line="252" w:lineRule="auto"/>
            </w:pPr>
            <w:r>
              <w:rPr>
                <w:rFonts w:ascii="Arial" w:hAnsi="Arial"/>
                <w:sz w:val="19"/>
              </w:rPr>
              <w:t>High-resolution MRI/MRA strongly emphasised</w:t>
            </w:r>
          </w:p>
        </w:tc>
        <w:tc>
          <w:tcPr>
            <w:tcW w:type="dxa" w:w="3312"/>
            <w:vAlign w:val="center"/>
            <w:tcMar>
              <w:top w:w="80" w:type="dxa"/>
              <w:start w:w="90" w:type="dxa"/>
              <w:bottom w:w="80" w:type="dxa"/>
              <w:end w:w="90" w:type="dxa"/>
            </w:tcMar>
          </w:tcPr>
          <w:p>
            <w:pPr>
              <w:spacing w:before="40" w:after="40" w:line="252" w:lineRule="auto"/>
            </w:pPr>
            <w:r>
              <w:rPr>
                <w:rFonts w:ascii="Arial" w:hAnsi="Arial"/>
                <w:sz w:val="19"/>
              </w:rPr>
              <w:t>Routine imaging may be considered; diagnostic value strongest for detecting structural causes</w:t>
            </w:r>
          </w:p>
        </w:tc>
      </w:tr>
      <w:tr>
        <w:tc>
          <w:tcPr>
            <w:tcW w:type="dxa" w:w="1728"/>
            <w:vAlign w:val="center"/>
            <w:tcMar>
              <w:top w:w="80" w:type="dxa"/>
              <w:start w:w="90" w:type="dxa"/>
              <w:bottom w:w="80" w:type="dxa"/>
              <w:end w:w="90" w:type="dxa"/>
            </w:tcMar>
            <w:shd w:fill="F8FBFE"/>
          </w:tcPr>
          <w:p>
            <w:pPr>
              <w:spacing w:before="40" w:after="40" w:line="252" w:lineRule="auto"/>
            </w:pPr>
            <w:r>
              <w:rPr>
                <w:rFonts w:ascii="Arial" w:hAnsi="Arial"/>
                <w:sz w:val="19"/>
              </w:rPr>
              <w:t>First-line drugs</w:t>
            </w:r>
          </w:p>
        </w:tc>
        <w:tc>
          <w:tcPr>
            <w:tcW w:type="dxa" w:w="2448"/>
            <w:vAlign w:val="center"/>
            <w:tcMar>
              <w:top w:w="80" w:type="dxa"/>
              <w:start w:w="90" w:type="dxa"/>
              <w:bottom w:w="80" w:type="dxa"/>
              <w:end w:w="90" w:type="dxa"/>
            </w:tcMar>
            <w:shd w:fill="F8FBFE"/>
          </w:tcPr>
          <w:p>
            <w:pPr>
              <w:spacing w:before="40" w:after="40" w:line="252" w:lineRule="auto"/>
            </w:pPr>
            <w:r>
              <w:rPr>
                <w:rFonts w:ascii="Arial" w:hAnsi="Arial"/>
                <w:sz w:val="19"/>
              </w:rPr>
              <w:t>Carbamazepine first; oxcarbazepine acceptable alternative</w:t>
            </w:r>
          </w:p>
        </w:tc>
        <w:tc>
          <w:tcPr>
            <w:tcW w:type="dxa" w:w="2592"/>
            <w:vAlign w:val="center"/>
            <w:tcMar>
              <w:top w:w="80" w:type="dxa"/>
              <w:start w:w="90" w:type="dxa"/>
              <w:bottom w:w="80" w:type="dxa"/>
              <w:end w:w="90" w:type="dxa"/>
            </w:tcMar>
            <w:shd w:fill="F8FBFE"/>
          </w:tcPr>
          <w:p>
            <w:pPr>
              <w:spacing w:before="40" w:after="40" w:line="252" w:lineRule="auto"/>
            </w:pPr>
            <w:r>
              <w:rPr>
                <w:rFonts w:ascii="Arial" w:hAnsi="Arial"/>
                <w:sz w:val="19"/>
              </w:rPr>
              <w:t>Carbamazepine and oxcarbazepine both strongly supported</w:t>
            </w:r>
          </w:p>
        </w:tc>
        <w:tc>
          <w:tcPr>
            <w:tcW w:type="dxa" w:w="3312"/>
            <w:vAlign w:val="center"/>
            <w:tcMar>
              <w:top w:w="80" w:type="dxa"/>
              <w:start w:w="90" w:type="dxa"/>
              <w:bottom w:w="80" w:type="dxa"/>
              <w:end w:w="90" w:type="dxa"/>
            </w:tcMar>
            <w:shd w:fill="F8FBFE"/>
          </w:tcPr>
          <w:p>
            <w:pPr>
              <w:spacing w:before="40" w:after="40" w:line="252" w:lineRule="auto"/>
            </w:pPr>
            <w:r>
              <w:rPr>
                <w:rFonts w:ascii="Arial" w:hAnsi="Arial"/>
                <w:sz w:val="19"/>
              </w:rPr>
              <w:t>Carbamazepine offered; oxcarbazepine considered</w:t>
            </w:r>
          </w:p>
        </w:tc>
      </w:tr>
      <w:tr>
        <w:tc>
          <w:tcPr>
            <w:tcW w:type="dxa" w:w="1728"/>
            <w:vAlign w:val="center"/>
            <w:tcMar>
              <w:top w:w="80" w:type="dxa"/>
              <w:start w:w="90" w:type="dxa"/>
              <w:bottom w:w="80" w:type="dxa"/>
              <w:end w:w="90" w:type="dxa"/>
            </w:tcMar>
          </w:tcPr>
          <w:p>
            <w:pPr>
              <w:spacing w:before="40" w:after="40" w:line="252" w:lineRule="auto"/>
            </w:pPr>
            <w:r>
              <w:rPr>
                <w:rFonts w:ascii="Arial" w:hAnsi="Arial"/>
                <w:sz w:val="19"/>
              </w:rPr>
              <w:t>Second-line drugs</w:t>
            </w:r>
          </w:p>
        </w:tc>
        <w:tc>
          <w:tcPr>
            <w:tcW w:type="dxa" w:w="2448"/>
            <w:vAlign w:val="center"/>
            <w:tcMar>
              <w:top w:w="80" w:type="dxa"/>
              <w:start w:w="90" w:type="dxa"/>
              <w:bottom w:w="80" w:type="dxa"/>
              <w:end w:w="90" w:type="dxa"/>
            </w:tcMar>
          </w:tcPr>
          <w:p>
            <w:pPr>
              <w:spacing w:before="40" w:after="40" w:line="252" w:lineRule="auto"/>
            </w:pPr>
            <w:r>
              <w:rPr>
                <w:rFonts w:ascii="Arial" w:hAnsi="Arial"/>
                <w:sz w:val="19"/>
              </w:rPr>
              <w:t>Usually specialist-led</w:t>
            </w:r>
          </w:p>
        </w:tc>
        <w:tc>
          <w:tcPr>
            <w:tcW w:type="dxa" w:w="2592"/>
            <w:vAlign w:val="center"/>
            <w:tcMar>
              <w:top w:w="80" w:type="dxa"/>
              <w:start w:w="90" w:type="dxa"/>
              <w:bottom w:w="80" w:type="dxa"/>
              <w:end w:w="90" w:type="dxa"/>
            </w:tcMar>
          </w:tcPr>
          <w:p>
            <w:pPr>
              <w:spacing w:before="40" w:after="40" w:line="252" w:lineRule="auto"/>
            </w:pPr>
            <w:r>
              <w:rPr>
                <w:rFonts w:ascii="Arial" w:hAnsi="Arial"/>
                <w:sz w:val="19"/>
              </w:rPr>
              <w:t>Lamotrigine, gabapentin, pregabalin, baclofen, phenytoin, botulinum toxin A may be used</w:t>
            </w:r>
          </w:p>
        </w:tc>
        <w:tc>
          <w:tcPr>
            <w:tcW w:type="dxa" w:w="3312"/>
            <w:vAlign w:val="center"/>
            <w:tcMar>
              <w:top w:w="80" w:type="dxa"/>
              <w:start w:w="90" w:type="dxa"/>
              <w:bottom w:w="80" w:type="dxa"/>
              <w:end w:w="90" w:type="dxa"/>
            </w:tcMar>
          </w:tcPr>
          <w:p>
            <w:pPr>
              <w:spacing w:before="40" w:after="40" w:line="252" w:lineRule="auto"/>
            </w:pPr>
            <w:r>
              <w:rPr>
                <w:rFonts w:ascii="Arial" w:hAnsi="Arial"/>
                <w:sz w:val="19"/>
              </w:rPr>
              <w:t>Baclofen and lamotrigine have some support; less certainty for others</w:t>
            </w:r>
          </w:p>
        </w:tc>
      </w:tr>
      <w:tr>
        <w:tc>
          <w:tcPr>
            <w:tcW w:type="dxa" w:w="1728"/>
            <w:vAlign w:val="center"/>
            <w:tcMar>
              <w:top w:w="80" w:type="dxa"/>
              <w:start w:w="90" w:type="dxa"/>
              <w:bottom w:w="80" w:type="dxa"/>
              <w:end w:w="90" w:type="dxa"/>
            </w:tcMar>
            <w:shd w:fill="F8FBFE"/>
          </w:tcPr>
          <w:p>
            <w:pPr>
              <w:spacing w:before="40" w:after="40" w:line="252" w:lineRule="auto"/>
            </w:pPr>
            <w:r>
              <w:rPr>
                <w:rFonts w:ascii="Arial" w:hAnsi="Arial"/>
                <w:sz w:val="19"/>
              </w:rPr>
              <w:t>Surgery</w:t>
            </w:r>
          </w:p>
        </w:tc>
        <w:tc>
          <w:tcPr>
            <w:tcW w:type="dxa" w:w="2448"/>
            <w:vAlign w:val="center"/>
            <w:tcMar>
              <w:top w:w="80" w:type="dxa"/>
              <w:start w:w="90" w:type="dxa"/>
              <w:bottom w:w="80" w:type="dxa"/>
              <w:end w:w="90" w:type="dxa"/>
            </w:tcMar>
            <w:shd w:fill="F8FBFE"/>
          </w:tcPr>
          <w:p>
            <w:pPr>
              <w:spacing w:before="40" w:after="40" w:line="252" w:lineRule="auto"/>
            </w:pPr>
            <w:r>
              <w:rPr>
                <w:rFonts w:ascii="Arial" w:hAnsi="Arial"/>
                <w:sz w:val="19"/>
              </w:rPr>
              <w:t>Early neurosurgical access encouraged in refractory/intolerant disease</w:t>
            </w:r>
          </w:p>
        </w:tc>
        <w:tc>
          <w:tcPr>
            <w:tcW w:type="dxa" w:w="2592"/>
            <w:vAlign w:val="center"/>
            <w:tcMar>
              <w:top w:w="80" w:type="dxa"/>
              <w:start w:w="90" w:type="dxa"/>
              <w:bottom w:w="80" w:type="dxa"/>
              <w:end w:w="90" w:type="dxa"/>
            </w:tcMar>
            <w:shd w:fill="F8FBFE"/>
          </w:tcPr>
          <w:p>
            <w:pPr>
              <w:spacing w:before="40" w:after="40" w:line="252" w:lineRule="auto"/>
            </w:pPr>
            <w:r>
              <w:rPr>
                <w:rFonts w:ascii="Arial" w:hAnsi="Arial"/>
                <w:sz w:val="19"/>
              </w:rPr>
              <w:t>MVD first-line surgery in classical TN</w:t>
            </w:r>
          </w:p>
        </w:tc>
        <w:tc>
          <w:tcPr>
            <w:tcW w:type="dxa" w:w="3312"/>
            <w:vAlign w:val="center"/>
            <w:tcMar>
              <w:top w:w="80" w:type="dxa"/>
              <w:start w:w="90" w:type="dxa"/>
              <w:bottom w:w="80" w:type="dxa"/>
              <w:end w:w="90" w:type="dxa"/>
            </w:tcMar>
            <w:shd w:fill="F8FBFE"/>
          </w:tcPr>
          <w:p>
            <w:pPr>
              <w:spacing w:before="40" w:after="40" w:line="252" w:lineRule="auto"/>
            </w:pPr>
            <w:r>
              <w:rPr>
                <w:rFonts w:ascii="Arial" w:hAnsi="Arial"/>
                <w:sz w:val="19"/>
              </w:rPr>
              <w:t>Early surgical therapy may be considered; MVD/percutaneous/radiosurgery all options</w:t>
            </w:r>
          </w:p>
        </w:tc>
      </w:tr>
    </w:tbl>
    <w:p>
      <w:pPr>
        <w:pStyle w:val="Heading1"/>
      </w:pPr>
      <w:r>
        <w:rPr>
          <w:b w:val="0"/>
          <w:i w:val="0"/>
        </w:rPr>
        <w:t>13. References used to frame this guidance</w:t>
      </w:r>
    </w:p>
    <w:p>
      <w:pPr>
        <w:pStyle w:val="ListBullet"/>
      </w:pPr>
      <w:r>
        <w:rPr>
          <w:rFonts w:ascii="Arial" w:hAnsi="Arial"/>
          <w:sz w:val="21"/>
        </w:rPr>
        <w:t>NICE Clinical Knowledge Summaries. Trigeminal neuralgia. Current online topic and prescribing pages accessed March 2026.</w:t>
      </w:r>
    </w:p>
    <w:p>
      <w:pPr>
        <w:pStyle w:val="ListBullet"/>
      </w:pPr>
      <w:r>
        <w:rPr>
          <w:rFonts w:ascii="Arial" w:hAnsi="Arial"/>
          <w:sz w:val="21"/>
        </w:rPr>
        <w:t>Royal College of Surgeons of England / Faculty of Dental Surgery. Guidelines for the management of trigeminal neuralgia. 2021.</w:t>
      </w:r>
    </w:p>
    <w:p>
      <w:pPr>
        <w:pStyle w:val="ListBullet"/>
      </w:pPr>
      <w:r>
        <w:rPr>
          <w:rFonts w:ascii="Arial" w:hAnsi="Arial"/>
          <w:sz w:val="21"/>
        </w:rPr>
        <w:t>Bendtsen L, Zakrzewska JM, Abbott J, et al. European Academy of Neurology guideline on trigeminal neuralgia. Eur J Neurol. 2019.</w:t>
      </w:r>
    </w:p>
    <w:p>
      <w:pPr>
        <w:pStyle w:val="ListBullet"/>
      </w:pPr>
      <w:r>
        <w:rPr>
          <w:rFonts w:ascii="Arial" w:hAnsi="Arial"/>
          <w:sz w:val="21"/>
        </w:rPr>
        <w:t>Gronseth G, Cruccu G, Alksne J, et al. AAN summary / diagnostic evaluation and treatment of trigeminal neuralgia. Neurology. 2008; guideline reaffirmed by AAN in 2024.</w:t>
      </w:r>
    </w:p>
    <w:p>
      <w:pPr>
        <w:pStyle w:val="ListBullet"/>
      </w:pPr>
      <w:r>
        <w:rPr>
          <w:rFonts w:ascii="Arial" w:hAnsi="Arial"/>
          <w:sz w:val="21"/>
        </w:rPr>
        <w:t>Chong MS, Bahra A, et al. Guidelines for the management of trigeminal neuralgia. Cleveland Clinic Journal of Medicine. 2023.</w:t>
      </w:r>
    </w:p>
    <w:p>
      <w:pPr>
        <w:pStyle w:val="ListBullet"/>
      </w:pPr>
      <w:r>
        <w:rPr>
          <w:rFonts w:ascii="Arial" w:hAnsi="Arial"/>
          <w:sz w:val="21"/>
        </w:rPr>
        <w:t>MHRA Drug Safety Update. Antiepileptic drugs in pregnancy: updated advice following comprehensive safety review. 2021.</w:t>
      </w:r>
    </w:p>
    <w:sectPr w:rsidR="00FC693F" w:rsidRPr="0006063C" w:rsidSect="00034616">
      <w:footerReference w:type="default" r:id="rId9"/>
      <w:pgSz w:w="12240" w:h="15840"/>
      <w:pgMar w:top="1191"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6"/>
      </w:rPr>
      <w:t>Trigeminal neuralgia guidance | clinician summary</w:t>
    </w:r>
    <w:r>
      <w:t xml:space="preserve">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6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5F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16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