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0F8F" w:rsidRDefault="00960F8F">
      <w:pPr>
        <w:jc w:val="center"/>
        <w:rPr>
          <w:b/>
          <w:color w:val="1F4E79"/>
          <w:sz w:val="34"/>
        </w:rPr>
      </w:pPr>
      <w:r w:rsidRPr="00960F8F">
        <w:rPr>
          <w:b/>
          <w:color w:val="1F4E79"/>
          <w:sz w:val="34"/>
        </w:rPr>
        <w:t xml:space="preserve">Clinically Relevant Short Summaries of Selected Headache Papers </w:t>
      </w:r>
    </w:p>
    <w:p w:rsidR="00960F8F" w:rsidRDefault="00960F8F">
      <w:pPr>
        <w:jc w:val="center"/>
        <w:rPr>
          <w:b/>
          <w:color w:val="1F4E79"/>
          <w:sz w:val="34"/>
        </w:rPr>
      </w:pPr>
      <w:r>
        <w:rPr>
          <w:b/>
          <w:color w:val="1F4E79"/>
          <w:sz w:val="34"/>
        </w:rPr>
        <w:t>(Cervicogenic Headache)</w:t>
      </w:r>
    </w:p>
    <w:p w:rsidR="00A82C18" w:rsidRDefault="00960F8F">
      <w:pPr>
        <w:jc w:val="center"/>
        <w:rPr>
          <w:rFonts w:hint="eastAsia"/>
        </w:rPr>
      </w:pPr>
      <w:bookmarkStart w:id="0" w:name="_GoBack"/>
      <w:bookmarkEnd w:id="0"/>
      <w:r>
        <w:rPr>
          <w:i/>
        </w:rPr>
        <w:t>Searchable briefing document with right-side clinical application panels</w:t>
      </w:r>
    </w:p>
    <w:tbl>
      <w:tblPr>
        <w:tblW w:w="0" w:type="auto"/>
        <w:jc w:val="center"/>
        <w:tblBorders>
          <w:top w:val="single" w:sz="8" w:space="0" w:color="C8D8E8"/>
          <w:left w:val="single" w:sz="8" w:space="0" w:color="C8D8E8"/>
          <w:bottom w:val="single" w:sz="8" w:space="0" w:color="C8D8E8"/>
          <w:right w:val="single" w:sz="8" w:space="0" w:color="C8D8E8"/>
          <w:insideH w:val="single" w:sz="8" w:space="0" w:color="C8D8E8"/>
          <w:insideV w:val="single" w:sz="8" w:space="0" w:color="C8D8E8"/>
        </w:tblBorders>
        <w:tblLayout w:type="fixed"/>
        <w:tblLook w:val="04A0" w:firstRow="1" w:lastRow="0" w:firstColumn="1" w:lastColumn="0" w:noHBand="0" w:noVBand="1"/>
      </w:tblPr>
      <w:tblGrid>
        <w:gridCol w:w="10224"/>
      </w:tblGrid>
      <w:tr w:rsidR="00A82C18">
        <w:trPr>
          <w:jc w:val="center"/>
        </w:trPr>
        <w:tc>
          <w:tcPr>
            <w:tcW w:w="10224" w:type="dxa"/>
            <w:shd w:val="clear" w:color="auto" w:fill="F3F7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A82C18" w:rsidRDefault="00A82C18">
            <w:pPr>
              <w:rPr>
                <w:rFonts w:hint="eastAsia"/>
              </w:rPr>
            </w:pPr>
          </w:p>
          <w:p w:rsidR="00A82C18" w:rsidRDefault="00960F8F">
            <w:pPr>
              <w:spacing w:after="40" w:line="276" w:lineRule="auto"/>
              <w:rPr>
                <w:rFonts w:hint="eastAsia"/>
              </w:rPr>
            </w:pPr>
            <w:r>
              <w:rPr>
                <w:b/>
                <w:color w:val="1F4E79"/>
              </w:rPr>
              <w:t xml:space="preserve">Purpose: </w:t>
            </w:r>
            <w:r>
              <w:t xml:space="preserve">rapid, clinically usable summaries of recent evidence relevant to cervicogenic headache </w:t>
            </w:r>
            <w:r>
              <w:t>assessment and treatment.</w:t>
            </w:r>
          </w:p>
          <w:p w:rsidR="00A82C18" w:rsidRDefault="00960F8F">
            <w:pPr>
              <w:spacing w:after="40" w:line="276" w:lineRule="auto"/>
              <w:rPr>
                <w:rFonts w:hint="eastAsia"/>
              </w:rPr>
            </w:pPr>
            <w:r>
              <w:rPr>
                <w:b/>
                <w:color w:val="1F4E79"/>
              </w:rPr>
              <w:t xml:space="preserve">How to use this document: </w:t>
            </w:r>
            <w:r>
              <w:t>each paper has a concise evidence summary on the left and a practical application panel on the right. This is intended for quick clinical recall, not as a substitute for reading the full paper.</w:t>
            </w:r>
          </w:p>
        </w:tc>
      </w:tr>
    </w:tbl>
    <w:p w:rsidR="00A82C18" w:rsidRDefault="00960F8F">
      <w:pPr>
        <w:pStyle w:val="Heading2"/>
        <w:spacing w:before="120" w:after="80"/>
      </w:pPr>
      <w:r>
        <w:rPr>
          <w:rFonts w:ascii="Aptos" w:hAnsi="Aptos"/>
          <w:color w:val="1F4E79"/>
          <w:sz w:val="23"/>
        </w:rPr>
        <w:t xml:space="preserve">Included </w:t>
      </w:r>
      <w:r>
        <w:rPr>
          <w:rFonts w:ascii="Aptos" w:hAnsi="Aptos"/>
          <w:color w:val="1F4E79"/>
          <w:sz w:val="23"/>
        </w:rPr>
        <w:t>papers</w:t>
      </w:r>
    </w:p>
    <w:p w:rsidR="00A82C18" w:rsidRDefault="00960F8F">
      <w:pPr>
        <w:pStyle w:val="ListBullet"/>
        <w:spacing w:after="40"/>
        <w:rPr>
          <w:rFonts w:hint="eastAsia"/>
        </w:rPr>
      </w:pPr>
      <w:r>
        <w:t>Minimally Invasive Interventions for Cervicogenic Headache: A Systematic Review of Targeted Anatomical Approaches and Clinical Outcomes (Journal of Pain Research, 2026)</w:t>
      </w:r>
    </w:p>
    <w:p w:rsidR="00A82C18" w:rsidRDefault="00960F8F">
      <w:pPr>
        <w:pStyle w:val="ListBullet"/>
        <w:spacing w:after="40"/>
        <w:rPr>
          <w:rFonts w:hint="eastAsia"/>
        </w:rPr>
      </w:pPr>
      <w:r>
        <w:t>Comparative Safety and Efficacy of Manual Therapy Interventions for Cervicogenic</w:t>
      </w:r>
      <w:r>
        <w:t xml:space="preserve"> Headache: A Systematic Review and Network Meta-analysis (Frontiers in Neurology, 2025)</w:t>
      </w:r>
    </w:p>
    <w:p w:rsidR="00A82C18" w:rsidRDefault="00960F8F">
      <w:pPr>
        <w:pStyle w:val="Heading1"/>
        <w:spacing w:before="200" w:after="80"/>
      </w:pPr>
      <w:r>
        <w:rPr>
          <w:rFonts w:ascii="Aptos" w:hAnsi="Aptos"/>
          <w:color w:val="1F4E79"/>
        </w:rPr>
        <w:t>1. Minimally Invasive Interventions for Cervicogenic Headache</w:t>
      </w:r>
    </w:p>
    <w:p w:rsidR="00A82C18" w:rsidRDefault="00960F8F">
      <w:pPr>
        <w:spacing w:after="80" w:line="276" w:lineRule="auto"/>
        <w:rPr>
          <w:rFonts w:hint="eastAsia"/>
        </w:rPr>
      </w:pPr>
      <w:r>
        <w:rPr>
          <w:i/>
          <w:sz w:val="20"/>
        </w:rPr>
        <w:t>Jin X, Zhang Q, Lin J, Sun Y, Dong Z, Jin W. Journal of Pain Research. 2026.</w:t>
      </w:r>
    </w:p>
    <w:tbl>
      <w:tblPr>
        <w:tblW w:w="0" w:type="auto"/>
        <w:jc w:val="center"/>
        <w:tblBorders>
          <w:top w:val="single" w:sz="8" w:space="0" w:color="D0D7DE"/>
          <w:left w:val="single" w:sz="8" w:space="0" w:color="D0D7DE"/>
          <w:bottom w:val="single" w:sz="8" w:space="0" w:color="D0D7DE"/>
          <w:right w:val="single" w:sz="8" w:space="0" w:color="D0D7DE"/>
          <w:insideH w:val="single" w:sz="8" w:space="0" w:color="D0D7DE"/>
          <w:insideV w:val="single" w:sz="8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A82C18">
        <w:trPr>
          <w:jc w:val="center"/>
        </w:trPr>
        <w:tc>
          <w:tcPr>
            <w:tcW w:w="5112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A82C18" w:rsidRDefault="00A82C18">
            <w:pPr>
              <w:rPr>
                <w:rFonts w:hint="eastAsia"/>
              </w:rPr>
            </w:pPr>
          </w:p>
          <w:p w:rsidR="00A82C18" w:rsidRDefault="00960F8F">
            <w:pPr>
              <w:spacing w:after="40" w:line="276" w:lineRule="auto"/>
              <w:rPr>
                <w:rFonts w:hint="eastAsia"/>
              </w:rPr>
            </w:pPr>
            <w:r>
              <w:rPr>
                <w:b/>
                <w:color w:val="1F4E79"/>
              </w:rPr>
              <w:t xml:space="preserve">Why this paper matters: </w:t>
            </w:r>
            <w:r>
              <w:t>This</w:t>
            </w:r>
            <w:r>
              <w:t xml:space="preserve"> review is helpful when deciding which anatomy-directed procedures are worth considering in refractory cervicogenic headache and which targets currently have the strongest support.</w:t>
            </w:r>
          </w:p>
          <w:p w:rsidR="00A82C18" w:rsidRDefault="00960F8F">
            <w:pPr>
              <w:spacing w:before="40" w:after="40" w:line="276" w:lineRule="auto"/>
              <w:rPr>
                <w:rFonts w:hint="eastAsia"/>
              </w:rPr>
            </w:pPr>
            <w:r>
              <w:rPr>
                <w:b/>
                <w:color w:val="1F4E79"/>
              </w:rPr>
              <w:t>Key clinical points</w:t>
            </w:r>
          </w:p>
          <w:p w:rsidR="00A82C18" w:rsidRDefault="00960F8F">
            <w:pPr>
              <w:pStyle w:val="ListBullet"/>
              <w:spacing w:after="40"/>
              <w:rPr>
                <w:rFonts w:hint="eastAsia"/>
              </w:rPr>
            </w:pPr>
            <w:r>
              <w:t xml:space="preserve">Included 23 studies: 4 randomized trials, 13 cohort </w:t>
            </w:r>
            <w:r>
              <w:t>studies, 1 case-control study, and 5 anatomical studies.</w:t>
            </w:r>
          </w:p>
          <w:p w:rsidR="00A82C18" w:rsidRDefault="00960F8F">
            <w:pPr>
              <w:pStyle w:val="ListBullet"/>
              <w:spacing w:after="40"/>
              <w:rPr>
                <w:rFonts w:hint="eastAsia"/>
              </w:rPr>
            </w:pPr>
            <w:r>
              <w:t>Across studies, interventions directed at the C2 dorsal root ganglion (DRG), C1–2 joint, cervical discs, deep cervical plexus, and greater occipital nerve generally produced short-term pain reduction</w:t>
            </w:r>
            <w:r>
              <w:t xml:space="preserve"> and some functional or quality-of-life improvement.</w:t>
            </w:r>
          </w:p>
          <w:p w:rsidR="00A82C18" w:rsidRDefault="00960F8F">
            <w:pPr>
              <w:pStyle w:val="ListBullet"/>
              <w:spacing w:after="40"/>
              <w:rPr>
                <w:rFonts w:hint="eastAsia"/>
              </w:rPr>
            </w:pPr>
            <w:r>
              <w:t xml:space="preserve">The C2 DRG emerged as the most consistently supported target. Reported approaches included pulsed radiofrequency (PRF), radiofrequency ablation (RFA), and coblation; PRF and ultrasound-guided approaches </w:t>
            </w:r>
            <w:r>
              <w:t>appeared promising, while C2 DRG RFA carried a notable risk of hypersensitivity in one series.</w:t>
            </w:r>
          </w:p>
          <w:p w:rsidR="00A82C18" w:rsidRDefault="00960F8F">
            <w:pPr>
              <w:pStyle w:val="ListBullet"/>
              <w:spacing w:after="40"/>
              <w:rPr>
                <w:rFonts w:hint="eastAsia"/>
              </w:rPr>
            </w:pPr>
            <w:r>
              <w:t>C1–2 joint interventions, including PRF and intra-articular steroid injection, also showed meaningful benefit in selected patients, including some durability out</w:t>
            </w:r>
            <w:r>
              <w:t xml:space="preserve"> to 12 months in observational data.</w:t>
            </w:r>
          </w:p>
          <w:p w:rsidR="00A82C18" w:rsidRDefault="00960F8F">
            <w:pPr>
              <w:pStyle w:val="ListBullet"/>
              <w:spacing w:after="40"/>
              <w:rPr>
                <w:rFonts w:hint="eastAsia"/>
              </w:rPr>
            </w:pPr>
            <w:r>
              <w:t>The review repeatedly stresses heterogeneity: studies used different diagnostic criteria, targets, techniques, outcome measures, and follow-up periods, so direct head-to-head conclusions remain limited.</w:t>
            </w:r>
          </w:p>
          <w:p w:rsidR="00A82C18" w:rsidRDefault="00960F8F">
            <w:pPr>
              <w:spacing w:before="40" w:after="20" w:line="276" w:lineRule="auto"/>
              <w:rPr>
                <w:rFonts w:hint="eastAsia"/>
              </w:rPr>
            </w:pPr>
            <w:r>
              <w:rPr>
                <w:b/>
                <w:color w:val="1F4E79"/>
              </w:rPr>
              <w:lastRenderedPageBreak/>
              <w:t>Important caveat</w:t>
            </w:r>
            <w:r>
              <w:rPr>
                <w:b/>
                <w:color w:val="1F4E79"/>
              </w:rPr>
              <w:t xml:space="preserve">: </w:t>
            </w:r>
            <w:r>
              <w:rPr>
                <w:i/>
              </w:rPr>
              <w:t>The overall evidence base is still preliminary. Most supporting studies are retrospective or single-centre, and long-term comparative data are limited.</w:t>
            </w:r>
          </w:p>
        </w:tc>
        <w:tc>
          <w:tcPr>
            <w:tcW w:w="5112" w:type="dxa"/>
            <w:shd w:val="clear" w:color="auto" w:fill="EAF3FB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A82C18" w:rsidRDefault="00A82C18">
            <w:pPr>
              <w:rPr>
                <w:rFonts w:hint="eastAsia"/>
              </w:rPr>
            </w:pPr>
          </w:p>
          <w:p w:rsidR="00A82C18" w:rsidRDefault="00960F8F">
            <w:pPr>
              <w:spacing w:line="276" w:lineRule="auto"/>
              <w:rPr>
                <w:rFonts w:hint="eastAsia"/>
              </w:rPr>
            </w:pPr>
            <w:r>
              <w:rPr>
                <w:b/>
                <w:color w:val="1F4E79"/>
              </w:rPr>
              <w:t>Clinical application panel</w:t>
            </w:r>
          </w:p>
          <w:p w:rsidR="00A82C18" w:rsidRDefault="00960F8F">
            <w:pPr>
              <w:pStyle w:val="ListBullet"/>
              <w:spacing w:after="40" w:line="264" w:lineRule="auto"/>
              <w:rPr>
                <w:rFonts w:hint="eastAsia"/>
              </w:rPr>
            </w:pPr>
            <w:r>
              <w:rPr>
                <w:b/>
                <w:color w:val="1F4E79"/>
              </w:rPr>
              <w:t xml:space="preserve">Where this fits in practice: </w:t>
            </w:r>
            <w:r>
              <w:t>use after a convincing cervicogenic phenotype</w:t>
            </w:r>
            <w:r>
              <w:t xml:space="preserve"> has been established and conservative management has been insufficient.</w:t>
            </w:r>
          </w:p>
          <w:p w:rsidR="00A82C18" w:rsidRDefault="00960F8F">
            <w:pPr>
              <w:pStyle w:val="ListBullet"/>
              <w:spacing w:after="40" w:line="264" w:lineRule="auto"/>
              <w:rPr>
                <w:rFonts w:hint="eastAsia"/>
              </w:rPr>
            </w:pPr>
            <w:r>
              <w:rPr>
                <w:b/>
                <w:color w:val="1F4E79"/>
              </w:rPr>
              <w:t xml:space="preserve">Best-supported procedural target: </w:t>
            </w:r>
            <w:r>
              <w:t>C2 DRG-directed treatment currently looks the most reproducible, especially when symptoms and examination suggest an upper cervical pain generator.</w:t>
            </w:r>
          </w:p>
          <w:p w:rsidR="00A82C18" w:rsidRDefault="00960F8F">
            <w:pPr>
              <w:pStyle w:val="ListBullet"/>
              <w:spacing w:after="40" w:line="264" w:lineRule="auto"/>
              <w:rPr>
                <w:rFonts w:hint="eastAsia"/>
              </w:rPr>
            </w:pPr>
            <w:r>
              <w:rPr>
                <w:b/>
                <w:color w:val="1F4E79"/>
              </w:rPr>
              <w:t>H</w:t>
            </w:r>
            <w:r>
              <w:rPr>
                <w:b/>
                <w:color w:val="1F4E79"/>
              </w:rPr>
              <w:t xml:space="preserve">ow to choose between procedures: </w:t>
            </w:r>
            <w:r>
              <w:t>prefer precision over escalation. A safer, image-guided PRF strategy may be more attractive than destructive techniques when durability needs are balanced against sensory complications.</w:t>
            </w:r>
          </w:p>
          <w:p w:rsidR="00A82C18" w:rsidRDefault="00960F8F">
            <w:pPr>
              <w:pStyle w:val="ListBullet"/>
              <w:spacing w:after="40" w:line="264" w:lineRule="auto"/>
              <w:rPr>
                <w:rFonts w:hint="eastAsia"/>
              </w:rPr>
            </w:pPr>
            <w:r>
              <w:rPr>
                <w:b/>
                <w:color w:val="1F4E79"/>
              </w:rPr>
              <w:t xml:space="preserve">Counselling point: </w:t>
            </w:r>
            <w:r>
              <w:t>set expectations a</w:t>
            </w:r>
            <w:r>
              <w:t>round improvement rather than cure. The literature supports selected symptom relief, not a universally durable solution.</w:t>
            </w:r>
          </w:p>
          <w:p w:rsidR="00A82C18" w:rsidRDefault="00960F8F">
            <w:pPr>
              <w:pStyle w:val="ListBullet"/>
              <w:spacing w:after="40" w:line="264" w:lineRule="auto"/>
              <w:rPr>
                <w:rFonts w:hint="eastAsia"/>
              </w:rPr>
            </w:pPr>
            <w:r>
              <w:rPr>
                <w:b/>
                <w:color w:val="1F4E79"/>
              </w:rPr>
              <w:t xml:space="preserve">Service implication: </w:t>
            </w:r>
            <w:r>
              <w:t>these treatments should usually sit in a specialist pathway with diagnostic confidence, image guidance, and a clea</w:t>
            </w:r>
            <w:r>
              <w:t>r escalation plan.</w:t>
            </w:r>
          </w:p>
        </w:tc>
      </w:tr>
    </w:tbl>
    <w:p w:rsidR="00A82C18" w:rsidRDefault="00A82C18">
      <w:pPr>
        <w:rPr>
          <w:rFonts w:hint="eastAsia"/>
        </w:rPr>
      </w:pPr>
    </w:p>
    <w:p w:rsidR="00A82C18" w:rsidRDefault="00960F8F">
      <w:pPr>
        <w:pStyle w:val="Heading1"/>
        <w:spacing w:before="200" w:after="80"/>
      </w:pPr>
      <w:r>
        <w:rPr>
          <w:rFonts w:ascii="Aptos" w:hAnsi="Aptos"/>
          <w:color w:val="1F4E79"/>
        </w:rPr>
        <w:t>2. Manual Therapy for Cervicogenic Headache</w:t>
      </w:r>
    </w:p>
    <w:p w:rsidR="00A82C18" w:rsidRDefault="00960F8F">
      <w:pPr>
        <w:spacing w:after="80" w:line="276" w:lineRule="auto"/>
        <w:rPr>
          <w:rFonts w:hint="eastAsia"/>
        </w:rPr>
      </w:pPr>
      <w:r>
        <w:rPr>
          <w:i/>
          <w:sz w:val="20"/>
        </w:rPr>
        <w:t>Xu X, Ling Y. Frontiers in Neurology. 2025.</w:t>
      </w:r>
    </w:p>
    <w:tbl>
      <w:tblPr>
        <w:tblW w:w="0" w:type="auto"/>
        <w:jc w:val="center"/>
        <w:tblBorders>
          <w:top w:val="single" w:sz="8" w:space="0" w:color="D0D7DE"/>
          <w:left w:val="single" w:sz="8" w:space="0" w:color="D0D7DE"/>
          <w:bottom w:val="single" w:sz="8" w:space="0" w:color="D0D7DE"/>
          <w:right w:val="single" w:sz="8" w:space="0" w:color="D0D7DE"/>
          <w:insideH w:val="single" w:sz="8" w:space="0" w:color="D0D7DE"/>
          <w:insideV w:val="single" w:sz="8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A82C18">
        <w:trPr>
          <w:jc w:val="center"/>
        </w:trPr>
        <w:tc>
          <w:tcPr>
            <w:tcW w:w="5112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A82C18" w:rsidRDefault="00A82C18">
            <w:pPr>
              <w:rPr>
                <w:rFonts w:hint="eastAsia"/>
              </w:rPr>
            </w:pPr>
          </w:p>
          <w:p w:rsidR="00A82C18" w:rsidRDefault="00960F8F">
            <w:pPr>
              <w:spacing w:after="40" w:line="276" w:lineRule="auto"/>
              <w:rPr>
                <w:rFonts w:hint="eastAsia"/>
              </w:rPr>
            </w:pPr>
            <w:r>
              <w:rPr>
                <w:b/>
                <w:color w:val="1F4E79"/>
              </w:rPr>
              <w:t xml:space="preserve">Why this paper matters: </w:t>
            </w:r>
            <w:r>
              <w:t xml:space="preserve">This paper is useful when choosing between manual therapy strategies and when explaining why some patients may respond </w:t>
            </w:r>
            <w:r>
              <w:t>better to mobilization-based care while others improve most with spinal manipulation.</w:t>
            </w:r>
          </w:p>
          <w:p w:rsidR="00A82C18" w:rsidRDefault="00960F8F">
            <w:pPr>
              <w:spacing w:before="40" w:after="40" w:line="276" w:lineRule="auto"/>
              <w:rPr>
                <w:rFonts w:hint="eastAsia"/>
              </w:rPr>
            </w:pPr>
            <w:r>
              <w:rPr>
                <w:b/>
                <w:color w:val="1F4E79"/>
              </w:rPr>
              <w:t>Key clinical points</w:t>
            </w:r>
          </w:p>
          <w:p w:rsidR="00A82C18" w:rsidRDefault="00960F8F">
            <w:pPr>
              <w:pStyle w:val="ListBullet"/>
              <w:spacing w:after="40"/>
              <w:rPr>
                <w:rFonts w:hint="eastAsia"/>
              </w:rPr>
            </w:pPr>
            <w:r>
              <w:t>Included 14 studies with 1,297 patients with cervicogenic headache.</w:t>
            </w:r>
          </w:p>
          <w:p w:rsidR="00A82C18" w:rsidRDefault="00960F8F">
            <w:pPr>
              <w:pStyle w:val="ListBullet"/>
              <w:spacing w:after="40"/>
              <w:rPr>
                <w:rFonts w:hint="eastAsia"/>
              </w:rPr>
            </w:pPr>
            <w:r>
              <w:t>In pairwise meta-analysis, sustained natural apophyseal glides (SNAG) mobilization</w:t>
            </w:r>
            <w:r>
              <w:t xml:space="preserve"> outperformed non-SNAG comparators for pain (VAS), disability (NDI and HDI), and flexion-rotation test performance, with benefit maintained across follow-up periods.</w:t>
            </w:r>
          </w:p>
          <w:p w:rsidR="00A82C18" w:rsidRDefault="00960F8F">
            <w:pPr>
              <w:pStyle w:val="ListBullet"/>
              <w:spacing w:after="40"/>
              <w:rPr>
                <w:rFonts w:hint="eastAsia"/>
              </w:rPr>
            </w:pPr>
            <w:r>
              <w:t>In the network meta-analysis, cervical spine manipulation (CSM) ranked highest for short-t</w:t>
            </w:r>
            <w:r>
              <w:t>erm improvement in pain and disability. Mobilization ranked second, while massage and exercise were generally less effective as stand-alone strategies.</w:t>
            </w:r>
          </w:p>
          <w:p w:rsidR="00A82C18" w:rsidRDefault="00960F8F">
            <w:pPr>
              <w:pStyle w:val="ListBullet"/>
              <w:spacing w:after="40"/>
              <w:rPr>
                <w:rFonts w:hint="eastAsia"/>
              </w:rPr>
            </w:pPr>
            <w:r>
              <w:t>Mobilization and SNAG techniques were presented as among the safer options, whereas manipulation remaine</w:t>
            </w:r>
            <w:r>
              <w:t>d highly effective but more dependent on clinician expertise and careful patient selection.</w:t>
            </w:r>
          </w:p>
          <w:p w:rsidR="00A82C18" w:rsidRDefault="00960F8F">
            <w:pPr>
              <w:pStyle w:val="ListBullet"/>
              <w:spacing w:after="40"/>
              <w:rPr>
                <w:rFonts w:hint="eastAsia"/>
              </w:rPr>
            </w:pPr>
            <w:r>
              <w:t xml:space="preserve">The authors also noted heterogeneity in study design, control groups, and sham interventions, which limits precision when comparing one manual therapy method </w:t>
            </w:r>
            <w:r>
              <w:t>against another.</w:t>
            </w:r>
          </w:p>
          <w:p w:rsidR="00A82C18" w:rsidRDefault="00960F8F">
            <w:pPr>
              <w:spacing w:before="40" w:after="20" w:line="276" w:lineRule="auto"/>
              <w:rPr>
                <w:rFonts w:hint="eastAsia"/>
              </w:rPr>
            </w:pPr>
            <w:r>
              <w:rPr>
                <w:b/>
                <w:color w:val="1F4E79"/>
              </w:rPr>
              <w:t xml:space="preserve">Important caveat: </w:t>
            </w:r>
            <w:r>
              <w:rPr>
                <w:i/>
              </w:rPr>
              <w:t>The network ranking supports short-term comparative effectiveness, but it does not remove the need for individualised decision-making, especially where cervical manipulation risk, clinician skill, or patient preference is</w:t>
            </w:r>
            <w:r>
              <w:rPr>
                <w:i/>
              </w:rPr>
              <w:t xml:space="preserve"> relevant.</w:t>
            </w:r>
          </w:p>
        </w:tc>
        <w:tc>
          <w:tcPr>
            <w:tcW w:w="5112" w:type="dxa"/>
            <w:shd w:val="clear" w:color="auto" w:fill="EAF3FB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A82C18" w:rsidRDefault="00A82C18">
            <w:pPr>
              <w:rPr>
                <w:rFonts w:hint="eastAsia"/>
              </w:rPr>
            </w:pPr>
          </w:p>
          <w:p w:rsidR="00A82C18" w:rsidRDefault="00960F8F">
            <w:pPr>
              <w:spacing w:line="276" w:lineRule="auto"/>
              <w:rPr>
                <w:rFonts w:hint="eastAsia"/>
              </w:rPr>
            </w:pPr>
            <w:r>
              <w:rPr>
                <w:b/>
                <w:color w:val="1F4E79"/>
              </w:rPr>
              <w:t>Clinical application panel</w:t>
            </w:r>
          </w:p>
          <w:p w:rsidR="00A82C18" w:rsidRDefault="00960F8F">
            <w:pPr>
              <w:pStyle w:val="ListBullet"/>
              <w:spacing w:after="40" w:line="264" w:lineRule="auto"/>
              <w:rPr>
                <w:rFonts w:hint="eastAsia"/>
              </w:rPr>
            </w:pPr>
            <w:r>
              <w:rPr>
                <w:b/>
                <w:color w:val="1F4E79"/>
              </w:rPr>
              <w:t xml:space="preserve">Best practical starting point: </w:t>
            </w:r>
            <w:r>
              <w:t>for many patients, begin with a mobilization-led programme such as SNAG plus exercise, particularly when there is restricted cervical movement and a clear mechanical trigger.</w:t>
            </w:r>
          </w:p>
          <w:p w:rsidR="00A82C18" w:rsidRDefault="00960F8F">
            <w:pPr>
              <w:pStyle w:val="ListBullet"/>
              <w:spacing w:after="40" w:line="264" w:lineRule="auto"/>
              <w:rPr>
                <w:rFonts w:hint="eastAsia"/>
              </w:rPr>
            </w:pPr>
            <w:r>
              <w:rPr>
                <w:b/>
                <w:color w:val="1F4E79"/>
              </w:rPr>
              <w:t>When manipu</w:t>
            </w:r>
            <w:r>
              <w:rPr>
                <w:b/>
                <w:color w:val="1F4E79"/>
              </w:rPr>
              <w:t xml:space="preserve">lation may help: </w:t>
            </w:r>
            <w:r>
              <w:t>consider cervical or thoracic spinal manipulation when delivered by a clinician experienced in headache-related cervical disorders and when contraindications have been carefully excluded.</w:t>
            </w:r>
          </w:p>
          <w:p w:rsidR="00A82C18" w:rsidRDefault="00960F8F">
            <w:pPr>
              <w:pStyle w:val="ListBullet"/>
              <w:spacing w:after="40" w:line="264" w:lineRule="auto"/>
              <w:rPr>
                <w:rFonts w:hint="eastAsia"/>
              </w:rPr>
            </w:pPr>
            <w:r>
              <w:rPr>
                <w:b/>
                <w:color w:val="1F4E79"/>
              </w:rPr>
              <w:t xml:space="preserve">How to counsel patients: </w:t>
            </w:r>
            <w:r>
              <w:t>manual therapy is most lik</w:t>
            </w:r>
            <w:r>
              <w:t>ely to improve pain, neck movement, and disability when combined with an active rehabilitation plan rather than used as an isolated passive treatment.</w:t>
            </w:r>
          </w:p>
          <w:p w:rsidR="00A82C18" w:rsidRDefault="00960F8F">
            <w:pPr>
              <w:pStyle w:val="ListBullet"/>
              <w:spacing w:after="40" w:line="264" w:lineRule="auto"/>
              <w:rPr>
                <w:rFonts w:hint="eastAsia"/>
              </w:rPr>
            </w:pPr>
            <w:r>
              <w:rPr>
                <w:b/>
                <w:color w:val="1F4E79"/>
              </w:rPr>
              <w:t xml:space="preserve">Safety message: </w:t>
            </w:r>
            <w:r>
              <w:t>mobilization and SNAG appear lower risk; upper cervical manipulation requires more cautio</w:t>
            </w:r>
            <w:r>
              <w:t>n and technical expertise.</w:t>
            </w:r>
          </w:p>
          <w:p w:rsidR="00A82C18" w:rsidRDefault="00960F8F">
            <w:pPr>
              <w:pStyle w:val="ListBullet"/>
              <w:spacing w:after="40" w:line="264" w:lineRule="auto"/>
              <w:rPr>
                <w:rFonts w:hint="eastAsia"/>
              </w:rPr>
            </w:pPr>
            <w:r>
              <w:rPr>
                <w:b/>
                <w:color w:val="1F4E79"/>
              </w:rPr>
              <w:t xml:space="preserve">Service implication: </w:t>
            </w:r>
            <w:r>
              <w:t>this review supports a stepped conservative pathway before invasive procedures are pursued in most cervicogenic headache presentations.</w:t>
            </w:r>
          </w:p>
        </w:tc>
      </w:tr>
    </w:tbl>
    <w:p w:rsidR="00A82C18" w:rsidRDefault="00A82C18">
      <w:pPr>
        <w:rPr>
          <w:rFonts w:hint="eastAsia"/>
        </w:rPr>
      </w:pPr>
    </w:p>
    <w:p w:rsidR="00A82C18" w:rsidRDefault="00960F8F">
      <w:pPr>
        <w:pStyle w:val="Heading1"/>
        <w:spacing w:before="120" w:after="40"/>
      </w:pPr>
      <w:r>
        <w:rPr>
          <w:rFonts w:ascii="Aptos" w:hAnsi="Aptos"/>
          <w:color w:val="1F4E79"/>
        </w:rPr>
        <w:t>Overall clinical takeaway</w:t>
      </w:r>
    </w:p>
    <w:p w:rsidR="00A82C18" w:rsidRDefault="00960F8F">
      <w:pPr>
        <w:spacing w:after="80" w:line="276" w:lineRule="auto"/>
        <w:rPr>
          <w:rFonts w:hint="eastAsia"/>
        </w:rPr>
      </w:pPr>
      <w:r>
        <w:rPr>
          <w:b/>
          <w:color w:val="1F4E79"/>
          <w:sz w:val="20"/>
        </w:rPr>
        <w:t xml:space="preserve">Taken together, these papers support a stepped cervicogenic headache pathway: </w:t>
      </w:r>
      <w:r>
        <w:rPr>
          <w:sz w:val="20"/>
        </w:rPr>
        <w:t>start with targeted manual therapy and exercise for most patients, reserve anatomy-directed image-guided procedures for refractory or highly selected cases, and match the interve</w:t>
      </w:r>
      <w:r>
        <w:rPr>
          <w:sz w:val="20"/>
        </w:rPr>
        <w:t>ntion to the likely pain generator rather than treating all cervicogenic headache as one procedural entity.</w:t>
      </w:r>
    </w:p>
    <w:tbl>
      <w:tblPr>
        <w:tblW w:w="0" w:type="auto"/>
        <w:jc w:val="center"/>
        <w:tblBorders>
          <w:top w:val="single" w:sz="8" w:space="0" w:color="C8D0D9"/>
          <w:left w:val="single" w:sz="8" w:space="0" w:color="C8D0D9"/>
          <w:bottom w:val="single" w:sz="8" w:space="0" w:color="C8D0D9"/>
          <w:right w:val="single" w:sz="8" w:space="0" w:color="C8D0D9"/>
          <w:insideH w:val="single" w:sz="8" w:space="0" w:color="C8D0D9"/>
          <w:insideV w:val="single" w:sz="8" w:space="0" w:color="C8D0D9"/>
        </w:tblBorders>
        <w:tblLayout w:type="fixed"/>
        <w:tblLook w:val="04A0" w:firstRow="1" w:lastRow="0" w:firstColumn="1" w:lastColumn="0" w:noHBand="0" w:noVBand="1"/>
      </w:tblPr>
      <w:tblGrid>
        <w:gridCol w:w="3408"/>
        <w:gridCol w:w="3456"/>
        <w:gridCol w:w="3456"/>
      </w:tblGrid>
      <w:tr w:rsidR="00A82C18">
        <w:trPr>
          <w:jc w:val="center"/>
        </w:trPr>
        <w:tc>
          <w:tcPr>
            <w:tcW w:w="3408" w:type="dxa"/>
            <w:shd w:val="clear" w:color="auto" w:fill="D9EAF7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A82C18" w:rsidRDefault="00960F8F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9"/>
              </w:rPr>
              <w:lastRenderedPageBreak/>
              <w:t>Clinical situation</w:t>
            </w:r>
          </w:p>
        </w:tc>
        <w:tc>
          <w:tcPr>
            <w:tcW w:w="3408" w:type="dxa"/>
            <w:shd w:val="clear" w:color="auto" w:fill="D9EAF7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A82C18" w:rsidRDefault="00960F8F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9"/>
              </w:rPr>
              <w:t>Most useful evidence signal</w:t>
            </w:r>
          </w:p>
        </w:tc>
        <w:tc>
          <w:tcPr>
            <w:tcW w:w="3408" w:type="dxa"/>
            <w:shd w:val="clear" w:color="auto" w:fill="D9EAF7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A82C18" w:rsidRDefault="00960F8F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9"/>
              </w:rPr>
              <w:t>Practical implication</w:t>
            </w:r>
          </w:p>
        </w:tc>
      </w:tr>
      <w:tr w:rsidR="00A82C18">
        <w:trPr>
          <w:jc w:val="center"/>
        </w:trPr>
        <w:tc>
          <w:tcPr>
            <w:tcW w:w="273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A82C18" w:rsidRDefault="00960F8F">
            <w:pPr>
              <w:spacing w:after="20"/>
              <w:rPr>
                <w:rFonts w:hint="eastAsia"/>
              </w:rPr>
            </w:pPr>
            <w:r>
              <w:rPr>
                <w:sz w:val="19"/>
              </w:rPr>
              <w:t>Initial conservative care</w:t>
            </w:r>
          </w:p>
        </w:tc>
        <w:tc>
          <w:tcPr>
            <w:tcW w:w="345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A82C18" w:rsidRDefault="00960F8F">
            <w:pPr>
              <w:spacing w:after="20"/>
              <w:rPr>
                <w:rFonts w:hint="eastAsia"/>
              </w:rPr>
            </w:pPr>
            <w:r>
              <w:rPr>
                <w:sz w:val="19"/>
              </w:rPr>
              <w:t>SNAG/mobilization improves pain, disability, and cer</w:t>
            </w:r>
            <w:r>
              <w:rPr>
                <w:sz w:val="19"/>
              </w:rPr>
              <w:t>vical movement; manipulation may be strongest short-term.</w:t>
            </w:r>
          </w:p>
        </w:tc>
        <w:tc>
          <w:tcPr>
            <w:tcW w:w="345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A82C18" w:rsidRDefault="00960F8F">
            <w:pPr>
              <w:spacing w:after="20"/>
              <w:rPr>
                <w:rFonts w:hint="eastAsia"/>
              </w:rPr>
            </w:pPr>
            <w:r>
              <w:rPr>
                <w:sz w:val="19"/>
              </w:rPr>
              <w:t>Use a mobilisation-led programme first in many patients; escalate to manipulation only when appropriate expertise and screening are in place.</w:t>
            </w:r>
          </w:p>
        </w:tc>
      </w:tr>
      <w:tr w:rsidR="00A82C18">
        <w:trPr>
          <w:jc w:val="center"/>
        </w:trPr>
        <w:tc>
          <w:tcPr>
            <w:tcW w:w="273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A82C18" w:rsidRDefault="00960F8F">
            <w:pPr>
              <w:spacing w:after="20"/>
              <w:rPr>
                <w:rFonts w:hint="eastAsia"/>
              </w:rPr>
            </w:pPr>
            <w:r>
              <w:rPr>
                <w:sz w:val="19"/>
              </w:rPr>
              <w:t>Refractory upper cervical phenotype</w:t>
            </w:r>
          </w:p>
        </w:tc>
        <w:tc>
          <w:tcPr>
            <w:tcW w:w="345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A82C18" w:rsidRDefault="00960F8F">
            <w:pPr>
              <w:spacing w:after="20"/>
              <w:rPr>
                <w:rFonts w:hint="eastAsia"/>
              </w:rPr>
            </w:pPr>
            <w:r>
              <w:rPr>
                <w:sz w:val="19"/>
              </w:rPr>
              <w:t xml:space="preserve">C2 DRG and C1–2 </w:t>
            </w:r>
            <w:r>
              <w:rPr>
                <w:sz w:val="19"/>
              </w:rPr>
              <w:t>joint targets have the best current interventional signal.</w:t>
            </w:r>
          </w:p>
        </w:tc>
        <w:tc>
          <w:tcPr>
            <w:tcW w:w="345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A82C18" w:rsidRDefault="00960F8F">
            <w:pPr>
              <w:spacing w:after="20"/>
              <w:rPr>
                <w:rFonts w:hint="eastAsia"/>
              </w:rPr>
            </w:pPr>
            <w:r>
              <w:rPr>
                <w:sz w:val="19"/>
              </w:rPr>
              <w:t>Consider referral for image-guided specialist procedures once diagnosis is secure and non-invasive measures have failed.</w:t>
            </w:r>
          </w:p>
        </w:tc>
      </w:tr>
      <w:tr w:rsidR="00A82C18">
        <w:trPr>
          <w:jc w:val="center"/>
        </w:trPr>
        <w:tc>
          <w:tcPr>
            <w:tcW w:w="273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A82C18" w:rsidRDefault="00960F8F">
            <w:pPr>
              <w:spacing w:after="20"/>
              <w:rPr>
                <w:rFonts w:hint="eastAsia"/>
              </w:rPr>
            </w:pPr>
            <w:r>
              <w:rPr>
                <w:sz w:val="19"/>
              </w:rPr>
              <w:t>Patient counselling</w:t>
            </w:r>
          </w:p>
        </w:tc>
        <w:tc>
          <w:tcPr>
            <w:tcW w:w="345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A82C18" w:rsidRDefault="00960F8F">
            <w:pPr>
              <w:spacing w:after="20"/>
              <w:rPr>
                <w:rFonts w:hint="eastAsia"/>
              </w:rPr>
            </w:pPr>
            <w:r>
              <w:rPr>
                <w:sz w:val="19"/>
              </w:rPr>
              <w:t>Both reviews show benefit, but neither supports a unive</w:t>
            </w:r>
            <w:r>
              <w:rPr>
                <w:sz w:val="19"/>
              </w:rPr>
              <w:t>rsal cure or one-size-fits-all pathway.</w:t>
            </w:r>
          </w:p>
        </w:tc>
        <w:tc>
          <w:tcPr>
            <w:tcW w:w="345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A82C18" w:rsidRDefault="00960F8F">
            <w:pPr>
              <w:spacing w:after="20"/>
              <w:rPr>
                <w:rFonts w:hint="eastAsia"/>
              </w:rPr>
            </w:pPr>
            <w:r>
              <w:rPr>
                <w:sz w:val="19"/>
              </w:rPr>
              <w:t>Frame treatment as phenotype-guided symptom reduction and function restoration rather than guaranteed long-term resolution.</w:t>
            </w:r>
          </w:p>
        </w:tc>
      </w:tr>
    </w:tbl>
    <w:p w:rsidR="00000000" w:rsidRDefault="00960F8F"/>
    <w:sectPr w:rsidR="00000000" w:rsidSect="00034616">
      <w:pgSz w:w="12240" w:h="15840"/>
      <w:pgMar w:top="864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0F8F"/>
    <w:rsid w:val="00A82C1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27C84F"/>
  <w14:defaultImageDpi w14:val="300"/>
  <w15:docId w15:val="{B7956D52-1400-45EC-AAB4-527A2D0E7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60" w:line="269" w:lineRule="auto"/>
    </w:pPr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E280712-C522-4F52-A7C7-6ADC71D8FB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1048</Words>
  <Characters>5975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Saeedur Rahman</cp:lastModifiedBy>
  <cp:revision>2</cp:revision>
  <dcterms:created xsi:type="dcterms:W3CDTF">2013-12-23T23:15:00Z</dcterms:created>
  <dcterms:modified xsi:type="dcterms:W3CDTF">2026-03-24T14:48:00Z</dcterms:modified>
  <cp:category/>
</cp:coreProperties>
</file>