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609" w:rsidRDefault="00957609" w:rsidP="00957609">
      <w:pPr>
        <w:pStyle w:val="Subtitle"/>
        <w:jc w:val="center"/>
        <w:rPr>
          <w:b/>
          <w:i w:val="0"/>
          <w:iCs w:val="0"/>
          <w:color w:val="1B4A7D"/>
          <w:spacing w:val="5"/>
          <w:kern w:val="28"/>
          <w:sz w:val="48"/>
          <w:szCs w:val="52"/>
        </w:rPr>
      </w:pPr>
      <w:r w:rsidRPr="00957609">
        <w:rPr>
          <w:b/>
          <w:i w:val="0"/>
          <w:iCs w:val="0"/>
          <w:color w:val="1B4A7D"/>
          <w:spacing w:val="5"/>
          <w:kern w:val="28"/>
          <w:sz w:val="48"/>
          <w:szCs w:val="52"/>
        </w:rPr>
        <w:t xml:space="preserve">Clinically Relevant Short Summaries of Selected Headache Papers </w:t>
      </w:r>
      <w:r>
        <w:rPr>
          <w:b/>
          <w:i w:val="0"/>
          <w:iCs w:val="0"/>
          <w:color w:val="1B4A7D"/>
          <w:spacing w:val="5"/>
          <w:kern w:val="28"/>
          <w:sz w:val="48"/>
          <w:szCs w:val="52"/>
        </w:rPr>
        <w:t>(Migraine)</w:t>
      </w:r>
    </w:p>
    <w:p w:rsidR="001755FA" w:rsidRDefault="00B43899" w:rsidP="00957609">
      <w:pPr>
        <w:pStyle w:val="Subtitle"/>
        <w:jc w:val="center"/>
      </w:pPr>
      <w:r>
        <w:t>Unified searchable clinical briefing based on the uploaded summary documents</w:t>
      </w:r>
    </w:p>
    <w:p w:rsidR="001755FA" w:rsidRDefault="001755FA">
      <w:pPr>
        <w:rPr>
          <w:rFonts w:hint="eastAsia"/>
        </w:rPr>
      </w:pP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1755FA">
        <w:trPr>
          <w:jc w:val="center"/>
        </w:trPr>
        <w:tc>
          <w:tcPr>
            <w:tcW w:w="10080" w:type="dxa"/>
            <w:shd w:val="clear" w:color="auto" w:fill="EAF1FB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1755FA" w:rsidRDefault="00B43899">
            <w:pPr>
              <w:rPr>
                <w:rFonts w:hint="eastAsia"/>
              </w:rPr>
            </w:pPr>
            <w:r>
              <w:t>Purpose: quick-reference clinical summaries of recent migraine papers and guideline-oriented updates.</w:t>
            </w:r>
          </w:p>
          <w:p w:rsidR="001755FA" w:rsidRDefault="00B43899">
            <w:pPr>
              <w:rPr>
                <w:rFonts w:hint="eastAsia"/>
              </w:rPr>
            </w:pPr>
            <w:r>
              <w:t>Structure: each paper has a left summary column and a right practical application panel.</w:t>
            </w:r>
          </w:p>
          <w:p w:rsidR="001755FA" w:rsidRDefault="00B43899">
            <w:pPr>
              <w:rPr>
                <w:rFonts w:hint="eastAsia"/>
              </w:rPr>
            </w:pPr>
            <w:r>
              <w:t>Use: headings are searchable so clinicians can jump quickly to a topic, therapy, device, or diagnostic theme.</w:t>
            </w:r>
          </w:p>
          <w:p w:rsidR="001755FA" w:rsidRDefault="00B43899">
            <w:pPr>
              <w:rPr>
                <w:rFonts w:hint="eastAsia"/>
              </w:rPr>
            </w:pPr>
            <w:r>
              <w:t>Scope: this is an application-focused synthesis, not a full critical appraisal.</w:t>
            </w:r>
          </w:p>
        </w:tc>
      </w:tr>
    </w:tbl>
    <w:p w:rsidR="001755FA" w:rsidRDefault="001755FA">
      <w:pPr>
        <w:rPr>
          <w:rFonts w:hint="eastAsia"/>
        </w:rPr>
      </w:pPr>
    </w:p>
    <w:p w:rsidR="001755FA" w:rsidRDefault="00B43899">
      <w:pPr>
        <w:pStyle w:val="Heading1"/>
      </w:pPr>
      <w:r>
        <w:t>Included papers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Remote electrical neuromodulation (REN) for acute migraine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Migraine with aura: what it looks like and why it matters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Atogepant for migraine prevention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Pharmacogenetics of triptan non-response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Acupuncture versus standard medical care for migraine prophylaxis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Behavioral interventions for migraine prevention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Greater occipital nerve block for migraine: umbrella review, systematic review, and meta-analysis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Comprehensive safety analysis of adverse events associated with eptinezumab in migraine treatment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International Headache Society evidence-based guidelines on the use of non-invasive neuromodulation devices for the acute and preventive treatment of migraine</w:t>
      </w:r>
    </w:p>
    <w:p w:rsidR="001755FA" w:rsidRDefault="00B43899">
      <w:pPr>
        <w:pStyle w:val="ListBullet"/>
        <w:spacing w:after="0"/>
        <w:rPr>
          <w:rFonts w:hint="eastAsia"/>
        </w:rPr>
      </w:pPr>
      <w:r>
        <w:t>Evidence-based guidelines for the pharmacological treatment of migraine (summary version)</w:t>
      </w:r>
    </w:p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1. Remote electrical neuromodulation (REN) for acute migraine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Alnajjar et al. BMC Neurology,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large systematic review/meta-analysis supports REN as a pragmatic, home-based acute option for migraine, particularly when patients want a non-drug therapy or have contraindications, poor tolerance, or overuse risk with acute medications.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Included 12 studies with 9,912 patients.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At 2 hours, 64% achieved pain relief and 22% were pain-free.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Sustained pain relief at 24 hours was 59%, and sustained pain-free status at 24 hours was 54%.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Functional improvement at 2 hours occurred in 59%, and the most bothersome symptom resolved in about 55%.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In comparative analyses, REN improved 2-hour pain freedom versus control/sham, while device-related adverse events remained low.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Most evidence addresses acute treatment rather than replacing preventive therapy. Device access, cost, and adherence still matter in real-world use.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Consider for patients with episodic or chronic migraine who prefer non-pharmacologic acute treatment.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when triptans are contraindicated, poorly tolerated, or contributing to medication overuse.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Potentially attractive for adolescents and for patients prioritising portability and self-administration.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Explain that benefit is meaningful but not universal; set expectations similarly to other acute therapies.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2. Migraine with aura: what it looks like and why it matters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Joppeková et al. The Journal of Headache and Pain,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review is especially useful diagnostically. It helps clinicians recognise the breadth of aura phenotypes and avoid overcalling TIA, seizure, or ocular disease while still respecting red flags.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Migraine aura affects up to 30% of people with migraine and is usually visual, but may also be sensory, speech/language, motor, brainstem, or retinal.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Typical aura symptoms are gradual, fully reversible, and usually last up to 60 minutes, but prolonged visual aura beyond 60 minutes is not rare in practice.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pathophysiologic anchor remains cortical spreading depression with downstream neurovascular and trigeminovascular changes.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 stronger hereditary signal is described for migraine with aura than for migraine without aura, with recent migraine-aura-specific loci including HMOX2, CACNA1A, and MPPED2.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Differential diagnosis remains central: TIA/stroke, epilepsy, inflammatory CNS disease, and ocular causes of monocular visual loss must still be considered.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The review is broad and conceptually rich, but evidence for therapies that specifically target aura itself remains limited.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chronology: gradual spread, positive then negative symptoms, and full reversibility support aura.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 careful with monocular visual symptoms; retinal migraine is uncommon and misdiagnosis risk is high.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If presentation is abrupt, fixed, prolonged, or atypical for the patient, investigate for stroke/TIA or other secondary causes.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when documenting complex aura phenotype in clinic letters.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lastRenderedPageBreak/>
        <w:t>3. Atogepant for migraine prevention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Ladhwani et al. BMC Neurology,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meta-analysis reinforces atogepant as an effective oral preventive option across episodic and chronic migraine, with the main trade-off being gastrointestinal tolerability rather than major safety signals elsewhere.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Six randomised trials with 4,052 patients were included.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Atogepant improved monthly migraine days over 12 weeks across 10 mg, 30 mg, and 60 mg dosing.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It also reduced monthly headache days, increased the proportion achieving at least 50% reduction in monthly migraine days, and reduced acute medication use days.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Treatment-emergent adverse events were increased, driven mainly by gastrointestinal effects such as constipation and nausea.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Dose should be matched to patient context rather than assuming higher dose is always preferable.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The pooled analysis supports benefit, but the dose-response question and long-term comparative positioning against other modern preventives still need refinement.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 strong oral option for patients who want prevention without injectables.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Discuss constipation and nausea upfront and monitor early tolerability.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in both episodic and chronic migraine; chronic cases should still be reviewed for central sensitisation, allodynia, and comorbid medication overuse.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Dose selection should balance efficacy goals with tolerability and patient preference.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t>4. Pharmacogenetics of triptan non-response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Andreata et al. Brain and Behavior,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paper is clinically useful as a future-facing review: it does not give a ready-to-use genetic test for routine practice, but it clarifies why some patients repeatedly fail triptans and why precision treatment pathways may become relevant.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About 40% of patients are described as non-responsive to triptans.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Nine studies were included in the final analysis.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Overall pooled analysis did not confirm one robust standalone genetic predictor.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Subgroup findings suggested associations between triptan non-response and polymorphisms involving SLC6A4, 5-HT1B, and COMT; CALCA and PRDM16 had moderate evidence, while GRIA1 and SCN1A had limited evidence.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Polygenic risk scores and combined genetic approaches may ultimately be more clinically useful than single-marker testing.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The literature is heterogeneous, small, and methodologically inconsistent. Current findings are hypothesis-generating rather than immediately practice-changing.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 not use this paper to justify routine genetic testing yet.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it to explain to refractory patients that repeated triptan failure may reflect biology, not simply poor adherence or poor timing.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If a patient fails several triptans, move on pragmatically to gepants, ditans, REN, or better preventive optimisation rather than endlessly rotating similar drugs.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Precision medicine is the future direction, but present-day practice still relies on phenotype and treatment history.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t>5. Acupuncture versus standard medical care for migraine prophylaxis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Pistoia et al. European Journal of Neurology,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review supports acupuncture as a credible adjunctive preventive strategy, mainly for improving quality of life, reducing analgesic use, and offering a lower-burden option when standard preventives are poorly tolerated or unsuitable.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Fifteen studies were eligible.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Compared with standard medical care, acupuncture did not show a statistically significant advantage for reducing migraine days or pain intensity overall.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It did reduce analgesic use and improved quality of life.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authors position acupuncture as an adjunct rather than a replacement for established pharmacologic prevention.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Benefits may be particularly relevant where tolerability, patient preference, pregnancy/adolescence, or multimorbidity limit standard preventive options.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Evidence is complicated by protocol heterogeneity, sham-design issues, and lack of head-to-head comparison with newer CGRP-targeted preventives.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Reasonable to offer as an add-on in patients seeking non-drug prevention.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Particularly useful in patients with medication intolerance, strong preference for integrative care, or incomplete response to standard prevention.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Set expectations clearly: likely improvement in burden and medication use, but not a guaranteed large reduction in migraine frequency.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Access, cost, and availability are often the real determinants of uptake.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t>6. Behavioral interventions for migraine prevention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Treadwell et al. Headache,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WHY THIS PAPER MATTERS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is one of the most practice-relevant summaries for clinicians trying to integrate behavioral care into migraine prevention pathways for adults and young people.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KEY CLINICAL POINTS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Included 50 adult trials (6,024 adults) and 13 pediatric/adolescent trials (1,444 children/adolescents).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adults, CBT, relaxation training, and mindfulness-based therapies may reduce migraine/headache frequency.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Education alone that targets behavior may improve disability in adults.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children/adolescents, CBT plus biofeedback plus relaxation training may reduce attack frequency and disability more than education alone.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Evidence quality was generally low because many studies were small, multicomponent, and at high risk of bias.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IMPORTANT CAVEAT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The evidence base supports use, but component-specific dosing, ideal delivery format, and the size of benefit versus expectation/placebo effects remain incompletely defined.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Behavioral treatment should be considered a real preventive modality, not merely supportive counselling.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Adults: CBT, relaxation, and mindfulness are reasonable adjuncts or stand-alone options for selected patients.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Children/adolescents: structured CBT-biofeedback-relaxation packages appear especially relevant.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when patients want to reduce medication exposure or when comorbid stress, sleep disturbance, anxiety, or coping problems are prominent.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t>7. Greater occipital nerve block for migraine: umbrella review, systematic review, and meta-analysis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Atraszkiewicz D, Uenal E, Bassett P, et al. Cephalalgia.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Does greater occipital nerve block (GONB) have reliable evidence for acute or preventive treatment of migraine, and how trustworthy is the existing review literature?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STUDY DESIGN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Umbrella review of 9 prior systematic reviews plus an independent systematic review of 16 RCTs (930 patients), with quantitative meta-analysis of 7 RCTs (401 patients).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Most prior systematic reviews were methodologically weak or contained pooling/extraction errors, so the older review literature should be interpreted cautiously.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With moderate certainty, local anaesthetic GONB reduced headache severity in acute migraine over short follow-up (&lt;=48 hours), with signal seen as early as 30 minutes in some trials.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With low certainty, weekly bilateral local anaesthetic GONB for chronic migraine reduced headache severity at one month and reduced monthly headache days by about 4.5 days at one month.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Evidence was insufficient to draw firm conclusions for steroid-only GONB, local anaesthetic plus steroid GONB, unilateral GONB, or episodic migraine prevention.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No serious adverse effects were identified in the analysed studies. Reported problems were mainly injection-site pain/bleeding, dizziness/vertigo, and neck discomfort; steroid injections were rarely associated with cutaneous atrophy or alopecia.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paper supports GONB mainly as a short-term or bridging option rather than a clearly established disease-modifying strategy.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Most defensible use: short-term rescue or bridge treatment when evidence-based alternatives are unavailable, unsuitable, or delayed.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Best supported scenario: local anaesthetic GONB for acute migraine relief, and weekly bilateral local anaesthetic GONB for selected chronic migraine patients.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 not overstate durability: sustained benefit beyond the short term remains uncertain.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Steroid use is not clearly supported here; avoid assuming steroids improve efficacy.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Counselling point: the procedure appears generally safe, but common local adverse effects should be discussed.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t>8. Comprehensive safety analysis of adverse events associated with eptinezumab in migraine treatment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Chen J, Huang S, Chen Y, et al. Scientific Reports.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What safety signals are seen with eptinezumab in real-world reporting and randomised trials, and how should clinicians interpret them?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STUDY DESIGN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Combined pharmacovigilance study using FAERS (5,306 adverse-event reports, 2020-2024) plus systematic review/meta-analysis of 6 clinical trials (n=3,148).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In the meta-analysis, overall adverse-event risk was not higher than placebo (RR 1.02, 95% CI 0.95-1.10).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Serious adverse events were more frequent than placebo in pooled trial data (RR 2.87, 95% CI 1.27-6.48), although absolute event numbers were still low and event types were heterogeneous.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Upper respiratory tract infections were more common with eptinezumab (RR 1.49, P=0.04); dizziness, nausea/vomiting, and fatigue were not significantly increased.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FAERS identified strong reporting signals for 'drug ineffective' and 'migraine', which may reflect perceived lack of efficacy as much as toxicity.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Important real-world safety signals included anaphylactic reactions and rare reports such as increased intracranial pressure; most adverse-event reports occurred within the first treatment month.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Routine use remains reasonable, but clinicians should monitor carefully around infusion timing, early hypersensitivity events, and uncommon serious complications.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the paper mainly for safety counselling, not efficacy selection.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Highest-yield monitoring window: the first month after infusion.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Discuss infusion or hypersensitivity reactions explicitly, especially with prior biologic reactions.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Remember that FAERS signals are hypothesis-generating, not proof of causation.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Upper respiratory infections may be slightly more frequent; most common adverse events were not clearly increased versus placebo.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t>9. International Headache Society evidence-based guidelines on the use of non-invasive neuromodulation devices for the acute and preventive treatment of migraine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Yuan H, Orr SL, Al-Karagholi MAM, et al. Cephalalgia.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Which non-invasive neuromodulation devices can be recommended for acute and preventive migraine treatment, and how strong is that evidence?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STUDY DESIGN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Systematic review across six databases; 15 eligible randomised controlled trials used for GRADE-based recommendations.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acute migraine treatment, the panel issued weak recommendations in favour of SAVI Dual, Cefaly, Relivion, and Nerivio.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preventive migraine treatment, the panel issued weak recommendations in favour of gammaCore Sapphire, Cefaly, and Nerivio.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Several cleared devices received no recommendation because evidence was too limited, too imprecise, or lacked eligible trials.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Evidence quality ranged from very low to moderate; many recommendations remained weak because of small study sizes, methodological limitations, and real-world issues such as cost, access, and adherence.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authors emphasise that these devices are generally safe, well tolerated, and free of drug interactions, and they provide expert-consensus suggestions for broader scenarios such as paediatric migraine, vestibular migraine, chronic migraine, menstrual migraine, and medication overuse headache.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is a 'consider as an option' guideline rather than a standard-of-care mandate.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Think of neuromodulation as an adjunct or alternative, especially when drug therapy is contraindicated, poorly tolerated, or undesired.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Best evidence in prevention is still only weak/conditional; set expectations accordingly.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Good fit: patients who want low systemic adverse-effect burden or who are concerned about drug interactions.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Practical barriers to address before prescribing: adherence, device technique, cost, and insurance coverage.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Useful clinic phrasing: supported as an option, not yet supported as a clearly superior first-line standard.</w:t>
            </w:r>
          </w:p>
        </w:tc>
      </w:tr>
    </w:tbl>
    <w:p w:rsidR="001755FA" w:rsidRDefault="001755FA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B43899" w:rsidRDefault="00B43899">
      <w:pPr>
        <w:rPr>
          <w:rFonts w:hint="eastAsia"/>
        </w:rPr>
      </w:pPr>
    </w:p>
    <w:p w:rsidR="001755FA" w:rsidRDefault="00B43899">
      <w:pPr>
        <w:pStyle w:val="Heading1"/>
      </w:pPr>
      <w:r>
        <w:t>10. Evidence-based guidelines for the pharmacological treatment of migraine (summary version)</w:t>
      </w:r>
    </w:p>
    <w:p w:rsidR="001755FA" w:rsidRDefault="00B43899">
      <w:pPr>
        <w:spacing w:after="80"/>
        <w:rPr>
          <w:rFonts w:hint="eastAsia"/>
        </w:rPr>
      </w:pPr>
      <w:r>
        <w:rPr>
          <w:i/>
        </w:rPr>
        <w:t>Ornello R, Caponnetto V, Ahmed F, et al. Cephalalgia.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755FA">
        <w:trPr>
          <w:jc w:val="center"/>
        </w:trPr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WHAT THIS PAPER ASKED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How should current migraine pharmacotherapy be organised across acute treatment and prevention, and which preventive agents currently have the strongest evidence?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STUDY DESIGN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SISC-IHS guideline summary using systematic review of randomised controlled trials, quantitative evidence synthesis, GRADE methodology, and additional expert-based clinical opinions.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CLINICALLY RELEVANT FINDINGS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guideline covers acute therapy (NSAIDs/COX-2 inhibitors, triptans, paracetamol, combination analgesics, antiemetics, opioids, ditans, acute gepants) and preventive therapy (antidepressants, antiseizure medicines, beta-blockers, calcium-channel/blood-pressure agents, botulinum toxin, preventive gepants, and monoclonal antibodies targeting the CGRP pathway).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episodic migraine prevention, strong recommendations in favour include atogepant 60 mg, erenumab 70/140 mg, fremanezumab monthly or quarterly, galcanezumab 120 mg monthly, topiramate 100-200 mg, and eptinezumab 100/300 mg quarterly intravenous.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For chronic migraine prevention, strong recommendations in favour include onabotulinumtoxinA, atogepant 60 mg, eptinezumab 100/300 mg, erenumab 70/140 mg, fremanezumab monthly or quarterly, and galcanezumab 120 mg monthly.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Older preventive drugs remain clinically relevant, but many were studied in older trials that do not meet modern evidentiary standards; some therefore receive only weak recommendations despite longstanding use.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The document is particularly helpful for treatment organisation: it separates evidence-based recommendations from expert opinion and highlights that newer therapies often have stronger evidence because of better trial quality as well as efficacy.</w:t>
            </w:r>
          </w:p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1B4A7D"/>
              </w:rPr>
              <w:t>BOTTOM LINE</w:t>
            </w:r>
          </w:p>
          <w:p w:rsidR="001755FA" w:rsidRDefault="00B43899">
            <w:pPr>
              <w:spacing w:after="60"/>
              <w:rPr>
                <w:rFonts w:hint="eastAsia"/>
              </w:rPr>
            </w:pPr>
            <w:r>
              <w:t>This guideline helps clinicians structure escalation logically while still individualising around comorbidity, tolerability, cost, and access.</w:t>
            </w:r>
          </w:p>
        </w:tc>
        <w:tc>
          <w:tcPr>
            <w:tcW w:w="5040" w:type="dxa"/>
            <w:tcBorders>
              <w:top w:val="single" w:sz="6" w:space="0" w:color="D9E2F2"/>
              <w:left w:val="single" w:sz="6" w:space="0" w:color="D9E2F2"/>
              <w:bottom w:val="single" w:sz="6" w:space="0" w:color="D9E2F2"/>
              <w:right w:val="single" w:sz="6" w:space="0" w:color="D9E2F2"/>
            </w:tcBorders>
            <w:shd w:val="clear" w:color="auto" w:fill="F1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1755FA" w:rsidRDefault="00B43899">
            <w:pPr>
              <w:spacing w:after="40"/>
              <w:rPr>
                <w:rFonts w:hint="eastAsia"/>
              </w:rPr>
            </w:pPr>
            <w:r>
              <w:rPr>
                <w:b/>
                <w:color w:val="373737"/>
              </w:rPr>
              <w:t>CLINICAL APPLICATION PANEL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Use this paper as a framework document for drug-class prioritisation and escalation.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High-evidence preventive options are concentrated among newer CGRP-pathway agents, onabotulinumtoxinA for chronic migraine, and topiramate.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Do not dismiss older drugs entirely; many remain reasonable when cost, access, or comorbidity make them attractive.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Helpful consultation phrase: evidence strength and real-world suitability are not the same thing.</w:t>
            </w:r>
          </w:p>
          <w:p w:rsidR="001755FA" w:rsidRDefault="00B43899">
            <w:pPr>
              <w:pStyle w:val="ListBullet"/>
              <w:spacing w:after="20"/>
              <w:ind w:left="216"/>
              <w:rPr>
                <w:rFonts w:hint="eastAsia"/>
              </w:rPr>
            </w:pPr>
            <w:r>
              <w:t>Best role in clinic: anchor discussions about first preventive choice, next-step escalation, and why some older therapies sit lower in the evidence hierarchy.</w:t>
            </w:r>
          </w:p>
        </w:tc>
      </w:tr>
    </w:tbl>
    <w:p w:rsidR="001755FA" w:rsidRDefault="00B43899">
      <w:pPr>
        <w:rPr>
          <w:rFonts w:hint="eastAsia"/>
        </w:rPr>
      </w:pPr>
      <w:r>
        <w:br w:type="page"/>
      </w:r>
    </w:p>
    <w:p w:rsidR="001755FA" w:rsidRDefault="00B43899">
      <w:pPr>
        <w:pStyle w:val="Heading1"/>
      </w:pPr>
      <w:r>
        <w:t>Source documents used for this unified version</w:t>
      </w:r>
    </w:p>
    <w:p w:rsidR="001755FA" w:rsidRDefault="00B43899">
      <w:pPr>
        <w:pStyle w:val="ListBullet"/>
        <w:rPr>
          <w:rFonts w:hint="eastAsia"/>
        </w:rPr>
      </w:pPr>
      <w:r>
        <w:t>headache_paper_summaries_clinical_2025_v2.docx</w:t>
      </w:r>
    </w:p>
    <w:p w:rsidR="001755FA" w:rsidRDefault="00B43899">
      <w:pPr>
        <w:pStyle w:val="ListBullet"/>
        <w:rPr>
          <w:rFonts w:hint="eastAsia"/>
        </w:rPr>
      </w:pPr>
      <w:r>
        <w:t>headache_paper_clinical_summaries_v2.docx</w:t>
      </w:r>
    </w:p>
    <w:sectPr w:rsidR="001755F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5FA"/>
    <w:rsid w:val="0029639D"/>
    <w:rsid w:val="00326F90"/>
    <w:rsid w:val="00957609"/>
    <w:rsid w:val="00AA1D8D"/>
    <w:rsid w:val="00B438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593F6"/>
  <w14:defaultImageDpi w14:val="300"/>
  <w15:docId w15:val="{E46588C0-0940-410B-A34E-B446762D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B4A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3C3C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B4A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4C75C6-DBB1-4F84-9F05-EC4063908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2938</Words>
  <Characters>16751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Saeedur Rahman</cp:lastModifiedBy>
  <cp:revision>3</cp:revision>
  <dcterms:created xsi:type="dcterms:W3CDTF">2013-12-23T23:15:00Z</dcterms:created>
  <dcterms:modified xsi:type="dcterms:W3CDTF">2026-03-24T14:47:00Z</dcterms:modified>
  <cp:category/>
</cp:coreProperties>
</file>