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A82" w:rsidRDefault="00221A82">
      <w:pPr>
        <w:jc w:val="center"/>
        <w:rPr>
          <w:rFonts w:asciiTheme="majorHAnsi" w:eastAsiaTheme="majorEastAsia" w:hAnsiTheme="majorHAnsi" w:cstheme="majorBidi"/>
          <w:b/>
          <w:color w:val="115365"/>
          <w:spacing w:val="5"/>
          <w:kern w:val="28"/>
          <w:sz w:val="48"/>
          <w:szCs w:val="52"/>
        </w:rPr>
      </w:pPr>
      <w:r w:rsidRPr="00221A82">
        <w:rPr>
          <w:rFonts w:asciiTheme="majorHAnsi" w:eastAsiaTheme="majorEastAsia" w:hAnsiTheme="majorHAnsi" w:cstheme="majorBidi"/>
          <w:b/>
          <w:color w:val="115365"/>
          <w:spacing w:val="5"/>
          <w:kern w:val="28"/>
          <w:sz w:val="48"/>
          <w:szCs w:val="52"/>
        </w:rPr>
        <w:t xml:space="preserve">Clinically Relevant Short Summaries of Selected Headache Papers </w:t>
      </w:r>
    </w:p>
    <w:p w:rsidR="00221A82" w:rsidRDefault="00221A82">
      <w:pPr>
        <w:jc w:val="center"/>
        <w:rPr>
          <w:rFonts w:asciiTheme="majorHAnsi" w:eastAsiaTheme="majorEastAsia" w:hAnsiTheme="majorHAnsi" w:cstheme="majorBidi"/>
          <w:b/>
          <w:color w:val="115365"/>
          <w:spacing w:val="5"/>
          <w:kern w:val="28"/>
          <w:sz w:val="48"/>
          <w:szCs w:val="52"/>
        </w:rPr>
      </w:pPr>
      <w:r>
        <w:rPr>
          <w:rFonts w:asciiTheme="majorHAnsi" w:eastAsiaTheme="majorEastAsia" w:hAnsiTheme="majorHAnsi" w:cstheme="majorBidi"/>
          <w:b/>
          <w:color w:val="115365"/>
          <w:spacing w:val="5"/>
          <w:kern w:val="28"/>
          <w:sz w:val="48"/>
          <w:szCs w:val="52"/>
        </w:rPr>
        <w:t>(</w:t>
      </w:r>
      <w:r w:rsidR="005E1605">
        <w:rPr>
          <w:rFonts w:asciiTheme="majorHAnsi" w:eastAsiaTheme="majorEastAsia" w:hAnsiTheme="majorHAnsi" w:cstheme="majorBidi"/>
          <w:b/>
          <w:color w:val="115365"/>
          <w:spacing w:val="5"/>
          <w:kern w:val="28"/>
          <w:sz w:val="48"/>
          <w:szCs w:val="52"/>
        </w:rPr>
        <w:t>TACS</w:t>
      </w:r>
      <w:bookmarkStart w:id="0" w:name="_GoBack"/>
      <w:bookmarkEnd w:id="0"/>
      <w:r>
        <w:rPr>
          <w:rFonts w:asciiTheme="majorHAnsi" w:eastAsiaTheme="majorEastAsia" w:hAnsiTheme="majorHAnsi" w:cstheme="majorBidi"/>
          <w:b/>
          <w:color w:val="115365"/>
          <w:spacing w:val="5"/>
          <w:kern w:val="28"/>
          <w:sz w:val="48"/>
          <w:szCs w:val="52"/>
        </w:rPr>
        <w:t>)</w:t>
      </w:r>
    </w:p>
    <w:p w:rsidR="00F97B90" w:rsidRDefault="00221A82">
      <w:pPr>
        <w:jc w:val="center"/>
        <w:rPr>
          <w:rFonts w:hint="eastAsia"/>
        </w:rPr>
      </w:pPr>
      <w:r>
        <w:rPr>
          <w:i/>
          <w:color w:val="5F6E78"/>
          <w:sz w:val="22"/>
        </w:rPr>
        <w:t>Searchable briefing document with right-side clinical application panels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F97B90">
        <w:trPr>
          <w:jc w:val="center"/>
        </w:trPr>
        <w:tc>
          <w:tcPr>
            <w:tcW w:w="10368" w:type="dxa"/>
            <w:shd w:val="clear" w:color="auto" w:fill="DDE5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rPr>
                <w:rFonts w:hint="eastAsia"/>
              </w:rPr>
            </w:pPr>
            <w:r>
              <w:t>Purpose: rapid, clinically usable summaries rather than full critical appraisals.</w:t>
            </w:r>
          </w:p>
          <w:p w:rsidR="00F97B90" w:rsidRDefault="00221A82">
            <w:pPr>
              <w:rPr>
                <w:rFonts w:hint="eastAsia"/>
              </w:rPr>
            </w:pPr>
            <w:r>
              <w:t>Navigation: each paper uses Heading 1 so it appears in the Word navigation pane / side panel.</w:t>
            </w:r>
          </w:p>
          <w:p w:rsidR="00F97B90" w:rsidRDefault="00221A82">
            <w:pPr>
              <w:rPr>
                <w:rFonts w:hint="eastAsia"/>
              </w:rPr>
            </w:pPr>
            <w:r>
              <w:t>Layout: the left column summarises the study; the right shaded panel translates findings into day-to-day clinical use.</w:t>
            </w:r>
          </w:p>
        </w:tc>
      </w:tr>
    </w:tbl>
    <w:p w:rsidR="00F97B90" w:rsidRDefault="00221A82">
      <w:pPr>
        <w:pStyle w:val="Heading2"/>
      </w:pPr>
      <w:r>
        <w:t>Included papers</w:t>
      </w:r>
    </w:p>
    <w:p w:rsidR="00F97B90" w:rsidRDefault="00221A82">
      <w:pPr>
        <w:ind w:left="259" w:hanging="173"/>
        <w:rPr>
          <w:rFonts w:hint="eastAsia"/>
        </w:rPr>
      </w:pPr>
      <w:r>
        <w:t>• How can you manage an indomethacin-responsive headache in someone who cannot take indomethacin? (2025 review)</w:t>
      </w:r>
    </w:p>
    <w:p w:rsidR="00F97B90" w:rsidRDefault="00221A82">
      <w:pPr>
        <w:ind w:left="259" w:hanging="173"/>
        <w:rPr>
          <w:rFonts w:hint="eastAsia"/>
        </w:rPr>
      </w:pPr>
      <w:r>
        <w:t>• Paroxysmal hemicrania and hemicrania continua: review on pathophysiology, clinical features and treatment (2023 review)</w:t>
      </w:r>
    </w:p>
    <w:p w:rsidR="00F97B90" w:rsidRDefault="00221A82">
      <w:pPr>
        <w:ind w:left="259" w:hanging="173"/>
        <w:rPr>
          <w:rFonts w:hint="eastAsia"/>
        </w:rPr>
      </w:pPr>
      <w:r>
        <w:t>• Melatonin in hemicrania continua and paroxysmal hemicrania (2024 cohort / audit)</w:t>
      </w:r>
    </w:p>
    <w:p w:rsidR="00F97B90" w:rsidRDefault="00221A82">
      <w:pPr>
        <w:ind w:left="259" w:hanging="173"/>
        <w:rPr>
          <w:rFonts w:hint="eastAsia"/>
        </w:rPr>
      </w:pPr>
      <w:r>
        <w:t>• Epidemiology and clinical features of short-lasting unilateral neuralgiform headache attacks: systematic review and meta-analysis (2024)</w:t>
      </w:r>
    </w:p>
    <w:p w:rsidR="00F97B90" w:rsidRDefault="00221A82">
      <w:pPr>
        <w:pStyle w:val="Heading1"/>
      </w:pPr>
      <w:r>
        <w:t>1. How can you manage an indomethacin-responsive headache in someone who cannot take indomethacin?</w:t>
      </w:r>
    </w:p>
    <w:p w:rsidR="00F97B90" w:rsidRDefault="00221A82">
      <w:pPr>
        <w:rPr>
          <w:rFonts w:hint="eastAsia"/>
        </w:rPr>
      </w:pPr>
      <w:r>
        <w:rPr>
          <w:i/>
          <w:color w:val="5F6E78"/>
          <w:sz w:val="22"/>
        </w:rPr>
        <w:t>Osiowski A, Stolarz K, Taterra D. Current Opinion in Neurology. 2025.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3024"/>
      </w:tblGrid>
      <w:tr w:rsidR="00F97B90">
        <w:trPr>
          <w:jc w:val="center"/>
        </w:trPr>
        <w:tc>
          <w:tcPr>
            <w:tcW w:w="78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Why this paper matters</w:t>
            </w:r>
          </w:p>
          <w:p w:rsidR="00F97B90" w:rsidRDefault="00221A82">
            <w:pPr>
              <w:rPr>
                <w:rFonts w:hint="eastAsia"/>
              </w:rPr>
            </w:pPr>
            <w:r>
              <w:t>Useful when a patient with paroxysmal hemicrania or hemicrania continua has a clear indomethacin response but cannot stay on treatment because of gastrointestinal, cardiovascular, renal, or neuropsychiatric adverse effects.</w:t>
            </w:r>
          </w:p>
          <w:p w:rsidR="00F97B90" w:rsidRDefault="00221A82">
            <w:pPr>
              <w:pStyle w:val="Heading2"/>
            </w:pPr>
            <w:r>
              <w:t>What the paper asked</w:t>
            </w:r>
          </w:p>
          <w:p w:rsidR="00F97B90" w:rsidRDefault="00221A82">
            <w:pPr>
              <w:rPr>
                <w:rFonts w:hint="eastAsia"/>
              </w:rPr>
            </w:pPr>
            <w:r>
              <w:t>What alternative treatments have the best published support for indomethacin-responsive headache disorders, and how should they be used in practice?</w:t>
            </w:r>
          </w:p>
          <w:p w:rsidR="00F97B90" w:rsidRDefault="00221A82">
            <w:pPr>
              <w:pStyle w:val="Heading2"/>
            </w:pPr>
            <w:r>
              <w:t>Study design</w:t>
            </w:r>
          </w:p>
          <w:p w:rsidR="00F97B90" w:rsidRDefault="00221A82">
            <w:pPr>
              <w:rPr>
                <w:rFonts w:hint="eastAsia"/>
              </w:rPr>
            </w:pPr>
            <w:r>
              <w:t>Narrative current-opinion review synthesising recent literature and proposing practical management pathways for paroxysmal hemicrania and hemicrania continua in indomethacin intolerance.</w:t>
            </w:r>
          </w:p>
          <w:p w:rsidR="00F97B90" w:rsidRDefault="00221A82">
            <w:pPr>
              <w:pStyle w:val="Heading2"/>
            </w:pPr>
            <w:r>
              <w:lastRenderedPageBreak/>
              <w:t>Key clinically relevant findings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Indomethacin remains the benchmark therapy, but adverse effects are common: 30–60% report side effects and roughly 10–20% discontinue treatment.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most consistently supported substitutes were acemethacin, selective COX-2 inhibitors, and anticonvulsants; evidence was mainly from case reports, case series, and small cohorts.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Melatonin was highlighted as a useful adjunct or substitute in both hemicrania continua and paroxysmal hemicrania, especially when indomethacin cannot be continued.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For hemicrania continua, the review proposes acemethacin 90–180 mg/day, celecoxib 200–400 mg/day or etoricoxib 30–120 mg/day, gabapentin 900–2500 mg/day, pregabalin 150–600 mg/day, or topiramate 50–300 mg/day as practical indomethacin-sparing options.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For paroxysmal hemicrania, melatonin, topiramate, and noninvasive vagus nerve stimulation (nVNS) were the most emphasised options when indomethacin is not tolerated.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nVNS was presented as the most promising nonpharmacologic option because it may reduce the needed indomethacin dose and help preserve tolerability.</w:t>
            </w:r>
          </w:p>
          <w:p w:rsidR="00F97B90" w:rsidRDefault="00221A82">
            <w:pPr>
              <w:pStyle w:val="Heading2"/>
            </w:pPr>
            <w:r>
              <w:t>Important cautions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review explicitly states that formal consensus guidelines do not yet exist.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Most alternative-treatment evidence is low level and should be interpreted as supportive rather than definitive.</w:t>
            </w:r>
          </w:p>
          <w:p w:rsidR="00F97B90" w:rsidRDefault="00221A82">
            <w:pPr>
              <w:pStyle w:val="Heading2"/>
            </w:pPr>
            <w:r>
              <w:t>Bottom line</w:t>
            </w:r>
          </w:p>
          <w:p w:rsidR="00F97B90" w:rsidRDefault="00221A82">
            <w:pPr>
              <w:rPr>
                <w:rFonts w:hint="eastAsia"/>
              </w:rPr>
            </w:pPr>
            <w:r>
              <w:t>When indomethacin cannot be used, the best-supported next step is not one universally superior drug but a structured specialist trial of melatonin, COX-2 / NSAID alternatives, anticonvulsants, or nVNS, matched to comorbidity and risk profile.</w:t>
            </w:r>
          </w:p>
        </w:tc>
        <w:tc>
          <w:tcPr>
            <w:tcW w:w="3024" w:type="dxa"/>
            <w:shd w:val="clear" w:color="auto" w:fill="DDEAE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Clinical application panel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Think of this paper as a practical rescue algorithm for true indomethacin responders who become intolerant, not as evidence that alternatives are equivalent to indomethacin.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 xml:space="preserve">• Review gastrointestinal, renal, cardiovascular, and neuropsychiatric risk before choosing the </w:t>
            </w:r>
            <w:r>
              <w:rPr>
                <w:sz w:val="24"/>
              </w:rPr>
              <w:lastRenderedPageBreak/>
              <w:t>substitute strategy.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A pragmatic sequence is: confirm the phenotype, reduce to the lowest effective indomethacin dose if possible, then consider melatonin or a better-tolerated anti-inflammatory option, followed by anticonvulsants or nVNS in refractory cases.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For patients with marked gastric intolerance, acemethacin or a COX-2 inhibitor may be more realistic than forcing higher indomethacin doses.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Escalate early to a headache specialist when the original diagnosis is uncertain, because apparent “indomethacin failure” can reflect diagnostic error rather than drug resistance.</w:t>
            </w:r>
          </w:p>
        </w:tc>
      </w:tr>
    </w:tbl>
    <w:p w:rsidR="00F97B90" w:rsidRDefault="00221A82">
      <w:pPr>
        <w:pStyle w:val="Heading1"/>
      </w:pPr>
      <w:r>
        <w:lastRenderedPageBreak/>
        <w:t>2. Paroxysmal hemicrania and hemicrania continua: review on pathophysiology, clinical features and treatment</w:t>
      </w:r>
    </w:p>
    <w:p w:rsidR="00F97B90" w:rsidRDefault="00221A82">
      <w:pPr>
        <w:rPr>
          <w:rFonts w:hint="eastAsia"/>
        </w:rPr>
      </w:pPr>
      <w:r>
        <w:rPr>
          <w:i/>
          <w:color w:val="5F6E78"/>
          <w:sz w:val="22"/>
        </w:rPr>
        <w:t>Bahra A. Cephalalgia. 2023.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3024"/>
      </w:tblGrid>
      <w:tr w:rsidR="00F97B90">
        <w:trPr>
          <w:jc w:val="center"/>
        </w:trPr>
        <w:tc>
          <w:tcPr>
            <w:tcW w:w="78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Why this paper matters</w:t>
            </w:r>
          </w:p>
          <w:p w:rsidR="00F97B90" w:rsidRDefault="00221A82">
            <w:pPr>
              <w:rPr>
                <w:rFonts w:hint="eastAsia"/>
              </w:rPr>
            </w:pPr>
            <w:r>
              <w:t xml:space="preserve">Helpful for clinicians who want a diagnostic framework for two commonly missed TACs, especially when the phenotype is blurred by migrainous features or </w:t>
            </w:r>
            <w:r>
              <w:lastRenderedPageBreak/>
              <w:t>incomplete cranial autonomic features.</w:t>
            </w:r>
          </w:p>
          <w:p w:rsidR="00F97B90" w:rsidRDefault="00221A82">
            <w:pPr>
              <w:pStyle w:val="Heading2"/>
            </w:pPr>
            <w:r>
              <w:t>What the paper asked</w:t>
            </w:r>
          </w:p>
          <w:p w:rsidR="00F97B90" w:rsidRDefault="00221A82">
            <w:pPr>
              <w:rPr>
                <w:rFonts w:hint="eastAsia"/>
              </w:rPr>
            </w:pPr>
            <w:r>
              <w:t>How should clinicians recognise paroxysmal hemicrania and hemicrania continua, understand their place within the trigeminal autonomic cephalalgias, and avoid common diagnostic pitfalls?</w:t>
            </w:r>
          </w:p>
          <w:p w:rsidR="00F97B90" w:rsidRDefault="00221A82">
            <w:pPr>
              <w:pStyle w:val="Heading2"/>
            </w:pPr>
            <w:r>
              <w:t>Study design</w:t>
            </w:r>
          </w:p>
          <w:p w:rsidR="00F97B90" w:rsidRDefault="00221A82">
            <w:pPr>
              <w:rPr>
                <w:rFonts w:hint="eastAsia"/>
              </w:rPr>
            </w:pPr>
            <w:r>
              <w:t>Narrative review of pathophysiology, ICHD-based diagnostic features, differential diagnosis, secondary causes, imaging considerations, and treatment options for paroxysmal hemicrania and hemicrania continua.</w:t>
            </w:r>
          </w:p>
          <w:p w:rsidR="00F97B90" w:rsidRDefault="00221A82">
            <w:pPr>
              <w:pStyle w:val="Heading2"/>
            </w:pPr>
            <w:r>
              <w:t>Key clinically relevant findings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Paroxysmal hemicrania and hemicrania continua are TACs with a hallmark dramatic response to indometacin / indomethacin; this therapeutic response remains central to the diagnosis.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Paroxysmal hemicrania is defined by severe unilateral orbital, supraorbital, or temporal attacks lasting 2–30 minutes, typically occurring more than 5 times per day, usually with ipsilateral autonomic features and often restlessness/agitation.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Hemicrania continua is characterised by continuous unilateral headache for more than 3 months with superimposed exacerbations and autonomic features or movement sensitivity, again with absolute indomethacin responsiveness.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Migraine-like symptoms do not exclude these diagnoses: nausea, photophobia, phonophobia, and even overlap with migraine patterns are well recognised, particularly in hemicrania continua.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Absence of cranial autonomic features in every attack does not fully rule out the diagnosis; the review emphasises that real-world phenotypes can be less textbook than classification summaries suggest.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main paroxysmal hemicrania differential is cluster headache or SUNHA based on attack duration and pattern; the main hemicrania continua differential is migraine, often leading to under-recognition and treatment delay.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review supports imaging in new-onset cases and when features are atypical, but notes that secondary cases may still mimic the primary syndrome and may also appear indomethacin responsive.</w:t>
            </w:r>
          </w:p>
          <w:p w:rsidR="00F97B90" w:rsidRDefault="00221A82">
            <w:pPr>
              <w:pStyle w:val="Heading2"/>
            </w:pPr>
            <w:r>
              <w:t>Important cautions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This is a narrative review, not a guideline or meta-analysis.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Many published cohorts included historically classified cases, so exact prevalence and phenotype proportions should not be overinterpreted.</w:t>
            </w:r>
          </w:p>
          <w:p w:rsidR="00F97B90" w:rsidRDefault="00221A82">
            <w:pPr>
              <w:pStyle w:val="Heading2"/>
            </w:pPr>
            <w:r>
              <w:t>Bottom line</w:t>
            </w:r>
          </w:p>
          <w:p w:rsidR="00F97B90" w:rsidRDefault="00221A82">
            <w:pPr>
              <w:rPr>
                <w:rFonts w:hint="eastAsia"/>
              </w:rPr>
            </w:pPr>
            <w:r>
              <w:lastRenderedPageBreak/>
              <w:t>Do not dismiss paroxysmal hemicrania or hemicrania continua just because the patient has migrainous symptoms, neck pain, or incomplete autonomic features; in a strictly unilateral syndrome, an indomethacin trial remains decisive.</w:t>
            </w:r>
          </w:p>
        </w:tc>
        <w:tc>
          <w:tcPr>
            <w:tcW w:w="3024" w:type="dxa"/>
            <w:shd w:val="clear" w:color="auto" w:fill="DDEAE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Clinical application panel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 xml:space="preserve">• Use this paper when you suspect a side-locked </w:t>
            </w:r>
            <w:r>
              <w:rPr>
                <w:sz w:val="24"/>
              </w:rPr>
              <w:lastRenderedPageBreak/>
              <w:t>TAC but the case “looks too migrainous” to fit a classic teaching description.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For paroxysmal hemicrania, count attack duration and daily frequency carefully; for hemicrania continua, ask whether there is a continuous baseline headache with superimposed flares.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If a chronic “migraine” is completely one-sided for months and repeatedly restless or autonomic during flares, actively reconsider hemicrania continua.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Image new-onset or atypical cases, especially when examination, age of onset, or treatment course is unusual.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When indomethacin works dramatically, it should prompt diagnostic confidence; when it does not, revisit the diagnosis rather than simply escalating empiric migraine therapy.</w:t>
            </w:r>
          </w:p>
        </w:tc>
      </w:tr>
    </w:tbl>
    <w:p w:rsidR="00F97B90" w:rsidRDefault="00221A82">
      <w:pPr>
        <w:pStyle w:val="Heading1"/>
      </w:pPr>
      <w:r>
        <w:lastRenderedPageBreak/>
        <w:t>3. Melatonin in hemicrania continua and paroxysmal hemicrania</w:t>
      </w:r>
    </w:p>
    <w:p w:rsidR="00F97B90" w:rsidRDefault="00221A82">
      <w:pPr>
        <w:rPr>
          <w:rFonts w:hint="eastAsia"/>
        </w:rPr>
      </w:pPr>
      <w:r>
        <w:rPr>
          <w:i/>
          <w:color w:val="5F6E78"/>
          <w:sz w:val="22"/>
        </w:rPr>
        <w:t>Cheung SN, Oliveira R, Goadsby PJ. Cephalalgia. 2024.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3024"/>
      </w:tblGrid>
      <w:tr w:rsidR="00F97B90">
        <w:trPr>
          <w:jc w:val="center"/>
        </w:trPr>
        <w:tc>
          <w:tcPr>
            <w:tcW w:w="78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Why this paper matters</w:t>
            </w:r>
          </w:p>
          <w:p w:rsidR="00F97B90" w:rsidRDefault="00221A82">
            <w:pPr>
              <w:rPr>
                <w:rFonts w:hint="eastAsia"/>
              </w:rPr>
            </w:pPr>
            <w:r>
              <w:t>Useful when you need real-world data on whether melatonin is worth trying in indomethacin-sensitive headache disorders, particularly after intolerance to indomethacin.</w:t>
            </w:r>
          </w:p>
          <w:p w:rsidR="00F97B90" w:rsidRDefault="00221A82">
            <w:pPr>
              <w:pStyle w:val="Heading2"/>
            </w:pPr>
            <w:r>
              <w:t>What the paper asked</w:t>
            </w:r>
          </w:p>
          <w:p w:rsidR="00F97B90" w:rsidRDefault="00221A82">
            <w:pPr>
              <w:rPr>
                <w:rFonts w:hint="eastAsia"/>
              </w:rPr>
            </w:pPr>
            <w:r>
              <w:t>In routine clinical practice, how often does melatonin provide meaningful preventive benefit in hemicrania continua or paroxysmal hemicrania?</w:t>
            </w:r>
          </w:p>
          <w:p w:rsidR="00F97B90" w:rsidRDefault="00221A82">
            <w:pPr>
              <w:pStyle w:val="Heading2"/>
            </w:pPr>
            <w:r>
              <w:t>Study design</w:t>
            </w:r>
          </w:p>
          <w:p w:rsidR="00F97B90" w:rsidRDefault="00221A82">
            <w:pPr>
              <w:rPr>
                <w:rFonts w:hint="eastAsia"/>
              </w:rPr>
            </w:pPr>
            <w:r>
              <w:t>Single-centre audit / retrospective clinical-record review from a specialist neurology clinic (King’s College Hospital, London) covering September 2014 to April 2023.</w:t>
            </w:r>
          </w:p>
          <w:p w:rsidR="00F97B90" w:rsidRDefault="00221A82">
            <w:pPr>
              <w:pStyle w:val="Heading2"/>
            </w:pPr>
            <w:r>
              <w:t>Key clinically relevant findings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Among 56 hemicrania continua patients, 23 received melatonin. Doses ranged from 0.5 to 21 mg nightly, with a median dose of 10 mg.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In hemicrania continua, 14/23 patients (61%) reported some positive relief, but none became completely pain free. Eight continued melatonin as the sole preventive after stopping indomethacin; two used it as adjunctive therapy.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Among 22 paroxysmal hemicrania patients, 6 received melatonin. Median dose was 8 mg, and 3/6 patients (50%) responded.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Side effects from melatonin were uncommon and generally mild; reported issues included fatigue or sleepiness, while some patients stopped because of headache worsening or pregnancy planning.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authors conclude that melatonin is not equivalent to indomethacin in absolute responsiveness, but can provide clinically worthwhile symptom reduction in a substantial subgroup.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paper’s practical suggestion is to start low and titrate gradually; the authors specifically note a 2 mg dose before sleep as a reasonable starting point in clinical use.</w:t>
            </w:r>
          </w:p>
          <w:p w:rsidR="00F97B90" w:rsidRDefault="00221A82">
            <w:pPr>
              <w:pStyle w:val="Heading2"/>
            </w:pPr>
            <w:r>
              <w:t>Important cautions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Open-label retrospective audit only; there was no placebo control and no standardised escalation protocol.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Response was clinically judged, so the signal is useful for practice but not definitive efficacy proof.</w:t>
            </w:r>
          </w:p>
          <w:p w:rsidR="00F97B90" w:rsidRDefault="00221A82">
            <w:pPr>
              <w:pStyle w:val="Heading2"/>
            </w:pPr>
            <w:r>
              <w:t>Bottom line</w:t>
            </w:r>
          </w:p>
          <w:p w:rsidR="00F97B90" w:rsidRDefault="00221A82">
            <w:pPr>
              <w:rPr>
                <w:rFonts w:hint="eastAsia"/>
              </w:rPr>
            </w:pPr>
            <w:r>
              <w:t>Melatonin is best viewed as a low-risk, specialist-informed fallback or add-on strategy for indomethacin-intolerant patients, with realistic expectations of improvement rather than complete suppression.</w:t>
            </w:r>
          </w:p>
        </w:tc>
        <w:tc>
          <w:tcPr>
            <w:tcW w:w="3024" w:type="dxa"/>
            <w:shd w:val="clear" w:color="auto" w:fill="DDEAE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Clinical application panel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This is most useful when indomethacin clearly worked but was stopped because of gastrointestinal intolerance, lethargy, or other adverse effects.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A practical bedside message: melatonin can be tried before moving to more burdensome or riskier alternatives, especially in patients who prefer a gentler option.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Counsel patients that melatonin may reduce frequency, intensity, or agitation rather than making them pain free.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For PH and HC patients with coexisting sleep disruption or migraine biology, melatonin may be particularly attractive because of its tolerability profile.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Document benefit using headache diaries or structured follow-up questions, because response in this study was based on clinician-recorded overall improvement rather than formal trial endpoints.</w:t>
            </w:r>
          </w:p>
        </w:tc>
      </w:tr>
    </w:tbl>
    <w:p w:rsidR="00F97B90" w:rsidRDefault="00221A82">
      <w:pPr>
        <w:pStyle w:val="Heading1"/>
      </w:pPr>
      <w:r>
        <w:t>4. Epidemiology and clinical features of short-lasting unilateral neuralgiform headache attacks: a systematic review and meta-analysis</w:t>
      </w:r>
    </w:p>
    <w:p w:rsidR="00F97B90" w:rsidRDefault="00221A82">
      <w:pPr>
        <w:rPr>
          <w:rFonts w:hint="eastAsia"/>
        </w:rPr>
      </w:pPr>
      <w:r>
        <w:rPr>
          <w:i/>
          <w:color w:val="5F6E78"/>
          <w:sz w:val="22"/>
        </w:rPr>
        <w:t>Larsen JG, Henningsen MJ, Karlsson WK, et al. Cephalalgia. 2024.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3024"/>
      </w:tblGrid>
      <w:tr w:rsidR="00F97B90">
        <w:trPr>
          <w:jc w:val="center"/>
        </w:trPr>
        <w:tc>
          <w:tcPr>
            <w:tcW w:w="78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Why this paper matters</w:t>
            </w:r>
          </w:p>
          <w:p w:rsidR="00F97B90" w:rsidRDefault="00221A82">
            <w:pPr>
              <w:rPr>
                <w:rFonts w:hint="eastAsia"/>
              </w:rPr>
            </w:pPr>
            <w:r>
              <w:t>Useful for clinicians who need a concise evidence-based phenotype for SUNHA / SUNCT / SUNA when differentiating very brief autonomic attacks from trigeminal neuralgia, cluster headache, or atypical TACs.</w:t>
            </w:r>
          </w:p>
          <w:p w:rsidR="00F97B90" w:rsidRDefault="00221A82">
            <w:pPr>
              <w:pStyle w:val="Heading2"/>
            </w:pPr>
            <w:r>
              <w:t>What the paper asked</w:t>
            </w:r>
          </w:p>
          <w:p w:rsidR="00F97B90" w:rsidRDefault="00221A82">
            <w:pPr>
              <w:rPr>
                <w:rFonts w:hint="eastAsia"/>
              </w:rPr>
            </w:pPr>
            <w:r>
              <w:t>How common is SUNHA in clinical practice, and what clinical pattern should clinicians expect when diagnosing SUNCT or SUNA?</w:t>
            </w:r>
          </w:p>
          <w:p w:rsidR="00F97B90" w:rsidRDefault="00221A82">
            <w:pPr>
              <w:pStyle w:val="Heading2"/>
            </w:pPr>
            <w:r>
              <w:t>Study design</w:t>
            </w:r>
          </w:p>
          <w:p w:rsidR="00F97B90" w:rsidRDefault="00221A82">
            <w:pPr>
              <w:rPr>
                <w:rFonts w:hint="eastAsia"/>
              </w:rPr>
            </w:pPr>
            <w:r>
              <w:t>Systematic review and random-effects meta-analysis of 15 clinic-based observational studies of adults with SUNHA or its subtypes.</w:t>
            </w:r>
          </w:p>
          <w:p w:rsidR="00F97B90" w:rsidRDefault="00221A82">
            <w:pPr>
              <w:pStyle w:val="Heading2"/>
            </w:pPr>
            <w:r>
              <w:t>Key clinically relevant findings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pooled relative frequency of SUNHA among adults evaluated for headache or facial pain in clinical settings was 0.32%, emphasising that the disorder is distinctly uncommon.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Corresponding pooled clinic-based relative frequencies were 0.18% for SUNCT and 0.04% for SUNA.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Across studies, SUNHA most often presented in the fifth decade, with approximately equal sex distribution overall and a slight female predominance in SUNA.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typical attack was episodic, side-locked, severe, and stabbing, most often involving the ophthalmic and/or maxillary trigeminal distributions.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commonest cranial autonomic features were lacrimation, conjunctival injection, rhinorrhea, and nasal congestion.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In the studies reporting duration, SUNCT attacks averaged about 68 seconds; one SUNA study reported a mean duration of 96 seconds. One study reported approximately 75 attacks/day for SUNCT and 19 attacks/day for SUNA.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 authors argue that SUNCT and SUNA overlap substantially and may eventually be better unified clinically as SUNHA rather than treated as sharply separate entities.</w:t>
            </w:r>
          </w:p>
          <w:p w:rsidR="00F97B90" w:rsidRDefault="00221A82">
            <w:pPr>
              <w:pStyle w:val="Heading2"/>
            </w:pPr>
            <w:r>
              <w:t>Important cautions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There were no eligible population-based prevalence studies, so the meta-analysis cannot estimate true community prevalence.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Between-study heterogeneity was high for several outcomes, so pooled numbers should guide rather than dictate diagnosis.</w:t>
            </w:r>
          </w:p>
          <w:p w:rsidR="00F97B90" w:rsidRDefault="00221A82">
            <w:pPr>
              <w:pStyle w:val="Heading2"/>
            </w:pPr>
            <w:r>
              <w:t>Bottom line</w:t>
            </w:r>
          </w:p>
          <w:p w:rsidR="00F97B90" w:rsidRDefault="00221A82">
            <w:pPr>
              <w:rPr>
                <w:rFonts w:hint="eastAsia"/>
              </w:rPr>
            </w:pPr>
            <w:r>
              <w:t>When a patient reports seconds-long, unilateral, stabbing facial-orbital attacks with ipsilateral tearing or nasal symptoms, SUNHA should move high on the differential even though it is rare overall.</w:t>
            </w:r>
          </w:p>
        </w:tc>
        <w:tc>
          <w:tcPr>
            <w:tcW w:w="3024" w:type="dxa"/>
            <w:shd w:val="clear" w:color="auto" w:fill="DDEAE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97B90" w:rsidRDefault="00F97B90">
            <w:pPr>
              <w:rPr>
                <w:rFonts w:hint="eastAsia"/>
              </w:rPr>
            </w:pPr>
          </w:p>
          <w:p w:rsidR="00F97B90" w:rsidRDefault="00221A82">
            <w:pPr>
              <w:pStyle w:val="Heading2"/>
            </w:pPr>
            <w:r>
              <w:t>Clinical application panel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This paper is especially helpful when distinguishing SUNHA from trigeminal neuralgia: autonomic features, orbital involvement, attack clustering, and very frequent daily recurrence all support SUNHA.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Use the review to reassure yourself that migrainous or cluster-like assumptions are less likely when attacks are very short, side-locked, and autonomic.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Because prevalence data are clinic-based, the paper supports recognition rather than screening; the real value is in pattern recognition at specialist assessment.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If SUNCT or SUNA labels feel artificial in practice, the paper supports thinking in a broader SUNHA framework while still documenting the autonomic phenotype carefully.</w:t>
            </w:r>
          </w:p>
          <w:p w:rsidR="00F97B90" w:rsidRDefault="00221A82">
            <w:pPr>
              <w:ind w:left="216" w:hanging="173"/>
              <w:rPr>
                <w:rFonts w:hint="eastAsia"/>
              </w:rPr>
            </w:pPr>
            <w:r>
              <w:rPr>
                <w:sz w:val="24"/>
              </w:rPr>
              <w:t>• These attacks are rare enough that specialist referral is sensible when the diagnosis is suspected, especially before committing patients to long-term anticonvulsant therapy.</w:t>
            </w:r>
          </w:p>
        </w:tc>
      </w:tr>
    </w:tbl>
    <w:p w:rsidR="00AA40B6" w:rsidRDefault="00AA40B6">
      <w:pPr>
        <w:rPr>
          <w:rFonts w:hint="eastAsia"/>
        </w:rPr>
      </w:pPr>
    </w:p>
    <w:sectPr w:rsidR="00AA40B6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1A82"/>
    <w:rsid w:val="0029639D"/>
    <w:rsid w:val="00326F90"/>
    <w:rsid w:val="005E1605"/>
    <w:rsid w:val="00AA1D8D"/>
    <w:rsid w:val="00AA40B6"/>
    <w:rsid w:val="00B47730"/>
    <w:rsid w:val="00CB0664"/>
    <w:rsid w:val="00F97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888CF"/>
  <w14:defaultImageDpi w14:val="300"/>
  <w15:docId w15:val="{051D5D7F-9D45-4945-907C-EB0E7727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1153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153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53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E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11743A-3D45-456D-81C1-8E780EDD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2072</Words>
  <Characters>11816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Saeedur Rahman</cp:lastModifiedBy>
  <cp:revision>3</cp:revision>
  <dcterms:created xsi:type="dcterms:W3CDTF">2013-12-23T23:15:00Z</dcterms:created>
  <dcterms:modified xsi:type="dcterms:W3CDTF">2026-03-24T14:53:00Z</dcterms:modified>
  <cp:category/>
</cp:coreProperties>
</file>