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954" w:rsidRDefault="00C75CA8">
      <w:pPr>
        <w:pStyle w:val="Title"/>
        <w:jc w:val="center"/>
      </w:pPr>
      <w:r>
        <w:t>Clinically Relevant Short Summaries of Selected Headache Papers</w:t>
      </w:r>
      <w:r w:rsidR="0032237A">
        <w:t xml:space="preserve"> (Tension Type Headache)</w:t>
      </w:r>
    </w:p>
    <w:p w:rsidR="00703954" w:rsidRDefault="00C75CA8">
      <w:pPr>
        <w:jc w:val="center"/>
        <w:rPr>
          <w:rFonts w:hint="eastAsia"/>
        </w:rPr>
      </w:pPr>
      <w:r>
        <w:rPr>
          <w:i/>
          <w:color w:val="5A6B72"/>
          <w:sz w:val="22"/>
        </w:rPr>
        <w:t>Searchable briefing document with right-side clinical application panels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703954">
        <w:trPr>
          <w:jc w:val="center"/>
        </w:trPr>
        <w:tc>
          <w:tcPr>
            <w:tcW w:w="9936" w:type="dxa"/>
            <w:shd w:val="clear" w:color="auto" w:fill="EA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703954" w:rsidRDefault="00C75CA8">
            <w:pPr>
              <w:spacing w:after="80"/>
              <w:rPr>
                <w:rFonts w:hint="eastAsia"/>
              </w:rPr>
            </w:pPr>
            <w:r>
              <w:t>Purpose: rapid, clinically usable summaries rather than full critical appraisals.</w:t>
            </w:r>
          </w:p>
          <w:p w:rsidR="00703954" w:rsidRDefault="00C75CA8">
            <w:pPr>
              <w:spacing w:after="80"/>
              <w:rPr>
                <w:rFonts w:hint="eastAsia"/>
              </w:rPr>
            </w:pPr>
            <w:r>
              <w:t>Navigation: each paper is a Heading 1 so it appears in the Word navigation pane/side panel.</w:t>
            </w:r>
          </w:p>
          <w:p w:rsidR="00703954" w:rsidRDefault="00C75CA8">
            <w:pPr>
              <w:spacing w:after="80"/>
              <w:rPr>
                <w:rFonts w:hint="eastAsia"/>
              </w:rPr>
            </w:pPr>
            <w:r>
              <w:t>Layout: the left column summarises the study; the right shaded panel translates findings into day-to-day clinical use.</w:t>
            </w:r>
          </w:p>
        </w:tc>
      </w:tr>
    </w:tbl>
    <w:p w:rsidR="00703954" w:rsidRDefault="00C75CA8">
      <w:pPr>
        <w:pStyle w:val="Heading2"/>
      </w:pPr>
      <w:r>
        <w:t>Included papers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Acupuncture for tension-type headache: systematic review and meta-analysis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Psychological treatment for tension-type headache: systematic review and meta-analysis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Exercise for chronic tension-type headache and chronic migraine: systematic review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Pharmacological prophylaxis for tension-type headache: systematic review and network meta-analysis</w:t>
      </w:r>
    </w:p>
    <w:p w:rsidR="00703954" w:rsidRDefault="00C75CA8">
      <w:pPr>
        <w:rPr>
          <w:rFonts w:hint="eastAsia"/>
        </w:rPr>
      </w:pPr>
      <w:r>
        <w:br w:type="page"/>
      </w:r>
      <w:bookmarkStart w:id="0" w:name="_GoBack"/>
      <w:bookmarkEnd w:id="0"/>
    </w:p>
    <w:p w:rsidR="00703954" w:rsidRDefault="00C75CA8">
      <w:pPr>
        <w:pStyle w:val="Heading1"/>
        <w:spacing w:before="80" w:after="120"/>
      </w:pPr>
      <w:r>
        <w:lastRenderedPageBreak/>
        <w:t>1. Acupuncture for tension-type headache</w:t>
      </w:r>
    </w:p>
    <w:p w:rsidR="00703954" w:rsidRDefault="00C75CA8">
      <w:pPr>
        <w:rPr>
          <w:rFonts w:hint="eastAsia"/>
        </w:rPr>
      </w:pPr>
      <w:r>
        <w:rPr>
          <w:i/>
          <w:color w:val="5A6B72"/>
          <w:sz w:val="20"/>
        </w:rPr>
        <w:t>Lin PT, Su SY, Shih CL. J Oral Facial Pain Headache. 2025.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03954">
        <w:trPr>
          <w:jc w:val="center"/>
        </w:trPr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Why this paper matters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Useful for clinicians who want a structured answer to the common question of whether acupuncture has evidence beyond placebo for TTH. The signal is positive, but the effect size is modest and appears protocol-dependent.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What the paper asked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Does manual acupuncture improve tension-type headache outcomes versus sham acupuncture?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Study design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Systematic review and meta-analysis of 6 randomized controlled trials including 927 patients with mainly chronic TTH; databases searched to August 2024.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Key clinically relevant findings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At 6 weeks after treatment, acupuncture modestly reduced headache frequency versus sham (SMD −0.23; 95% CI −0.43 to −0.03).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The odds of achieving meaningful headache relief were higher with acupuncture than sham (OR 1.85; 95% CI 1.34 to 2.57).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Pain reduction was more convincing when treatment lasted more than 1 month or included more than 10 sessions (SMD −0.32; 95% CI −0.56 to −0.09).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The evidence base was small and included trials with risk-of-bias concerns, so effect estimates should be interpreted as supportive rather than definitive.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Bottom line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Acupuncture is a reasonable non-drug option for selected TTH patients, especially when patients prefer non-pharmacological treatment or cannot tolerate preventives, but it should be offered with realistic expectations and a defined treatment course.</w:t>
            </w:r>
          </w:p>
        </w:tc>
        <w:tc>
          <w:tcPr>
            <w:tcW w:w="4968" w:type="dxa"/>
            <w:shd w:val="clear" w:color="auto" w:fill="EAF4F4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100"/>
              <w:rPr>
                <w:rFonts w:hint="eastAsia"/>
              </w:rPr>
            </w:pPr>
            <w:r>
              <w:rPr>
                <w:b/>
                <w:color w:val="0F4C5C"/>
              </w:rPr>
              <w:t>Clinical application panel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Best-fit use: chronic or frequent TTH when standard education, trigger management, and simple preventives are insufficient or poorly tolerated.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Set expectations around a treatment block rather than a single session; this paper suggests benefit is more plausible with &gt;10 sessions or &gt;1 month of treatment.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Do not present acupuncture as a substitute for red-flag assessment or for addressing medication overuse, mood symptoms, sleep, and neck/shoulder contributors.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Practical counselling line: “The evidence suggests a modest benefit, especially with a complete course, but it is not a guaranteed response.”</w:t>
            </w:r>
          </w:p>
        </w:tc>
      </w:tr>
    </w:tbl>
    <w:p w:rsidR="00703954" w:rsidRDefault="00703954">
      <w:pPr>
        <w:rPr>
          <w:rFonts w:hint="eastAsia"/>
        </w:rPr>
      </w:pPr>
    </w:p>
    <w:p w:rsidR="00C75CA8" w:rsidRDefault="00C75CA8">
      <w:pPr>
        <w:rPr>
          <w:rFonts w:hint="eastAsia"/>
        </w:rPr>
      </w:pPr>
    </w:p>
    <w:p w:rsidR="00C75CA8" w:rsidRDefault="00C75CA8">
      <w:pPr>
        <w:rPr>
          <w:rFonts w:hint="eastAsia"/>
        </w:rPr>
      </w:pPr>
    </w:p>
    <w:p w:rsidR="00C75CA8" w:rsidRDefault="00C75CA8">
      <w:pPr>
        <w:rPr>
          <w:rFonts w:hint="eastAsia"/>
        </w:rPr>
      </w:pPr>
    </w:p>
    <w:p w:rsidR="00703954" w:rsidRDefault="00C75CA8">
      <w:pPr>
        <w:pStyle w:val="Heading1"/>
        <w:spacing w:before="80" w:after="120"/>
      </w:pPr>
      <w:r>
        <w:lastRenderedPageBreak/>
        <w:t>2. Psychological interventions for tension-type headache</w:t>
      </w:r>
    </w:p>
    <w:p w:rsidR="00703954" w:rsidRDefault="00C75CA8">
      <w:pPr>
        <w:rPr>
          <w:rFonts w:hint="eastAsia"/>
        </w:rPr>
      </w:pPr>
      <w:r>
        <w:rPr>
          <w:i/>
          <w:color w:val="5A6B72"/>
          <w:sz w:val="20"/>
        </w:rPr>
        <w:t>Yuan L, Pantila K, Niu XY, et al. The Journal of Headache and Pain. 2026.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03954">
        <w:trPr>
          <w:jc w:val="center"/>
        </w:trPr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Why this paper matters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This paper strengthens the case for integrating behavioural care into TTH management rather than viewing it as an optional add-on. It is especially relevant for patients with stress amplification, poor sleep, anxiety, low coping reserve, or persistent disability.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What the paper asked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Do psychological treatments such as CBT, relaxation, biofeedback, mindfulness, and related approaches improve TTH outcomes?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Study design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Systematic review and meta-analysis of 19 randomized trials with 1069 participants; primary outcome was monthly headache days.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Key clinically relevant findings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Psychological interventions reduced headache days by about 4.5 days per month compared with controls (MD −4.53; 95% CI −5.52 to −3.54).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Treatment response was higher with psychological therapy (RR 2.43; 95% CI 1.32 to 4.48).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Headache intensity also improved (MD −1.88), but heterogeneity was substantial (I² 93%), meaning the size of benefit varied widely across studies and modalities.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Exploratory subgroup analysis suggested mindfulness/meditation and some other psychological approaches reduced intensity, whereas relaxation-only approaches did not show the same signal.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Analgesic-use outcomes were too inconsistently reported for pooled analysis, and follow-up was generally short to moderate.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Bottom line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Psychological treatment should be considered a genuine management option for TTH, particularly for chronic or frequent disease and for patients with psychosocial amplification, but clinicians should avoid assuming all modalities are interchangeable.</w:t>
            </w:r>
          </w:p>
        </w:tc>
        <w:tc>
          <w:tcPr>
            <w:tcW w:w="4968" w:type="dxa"/>
            <w:shd w:val="clear" w:color="auto" w:fill="EAF4F4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100"/>
              <w:rPr>
                <w:rFonts w:hint="eastAsia"/>
              </w:rPr>
            </w:pPr>
            <w:r>
              <w:rPr>
                <w:b/>
                <w:color w:val="0F4C5C"/>
              </w:rPr>
              <w:t>Clinical application panel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Most clinically useful position: adjunct or alternative to pharmacological prophylaxis in patients with frequent/chronic TTH, comorbid anxiety/depression, or medication-overuse risk.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Think in phenotypes: stress-linked headache, central sensitisation features, insomnia, catastrophising, and high disability may point toward higher value from behavioural care.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Do not oversimplify as “just stress”; frame this as evidence-based headache treatment that modifies pain processing and coping.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Where resources are limited, prioritise CBT-style approaches, biofeedback, or structured mindfulness programmes over vague advice to “relax”.</w:t>
            </w:r>
          </w:p>
        </w:tc>
      </w:tr>
    </w:tbl>
    <w:p w:rsidR="00703954" w:rsidRDefault="00703954">
      <w:pPr>
        <w:rPr>
          <w:rFonts w:hint="eastAsia"/>
        </w:rPr>
      </w:pPr>
    </w:p>
    <w:p w:rsidR="00703954" w:rsidRDefault="00C75CA8">
      <w:pPr>
        <w:pStyle w:val="Heading1"/>
        <w:spacing w:before="80" w:after="120"/>
      </w:pPr>
      <w:r>
        <w:lastRenderedPageBreak/>
        <w:t>3. Exercise for chronic tension-type headache and chronic migraine</w:t>
      </w:r>
    </w:p>
    <w:p w:rsidR="00703954" w:rsidRDefault="00C75CA8">
      <w:pPr>
        <w:rPr>
          <w:rFonts w:hint="eastAsia"/>
        </w:rPr>
      </w:pPr>
      <w:r>
        <w:rPr>
          <w:i/>
          <w:color w:val="5A6B72"/>
          <w:sz w:val="20"/>
        </w:rPr>
        <w:t>Palacio-Del Río CJ, Monti-Ballano S, Lucha-López MO, et al. Healthcare. 2025.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03954">
        <w:trPr>
          <w:jc w:val="center"/>
        </w:trPr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Why this paper matters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This is useful because headache clinics often underuse exercise as a structured therapeutic prescription. The paper supports moving beyond generic advice and toward a programme-based rehabilitation model, particularly in patients with neck dysfunction, deconditioning, or chronicity.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What the paper asked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Does exercise help reduce pain in chronic TTH and chronic migraine?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Study design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Systematic review of 10 studies (848 participants) assessing exercise-based interventions versus conventional care; qualitative synthesis because protocols and outcomes were heterogeneous.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Key clinically relevant findings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Across most included studies, exercise-based programmes outperformed control care for pain reduction.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Interventions were varied and commonly combined strengthening/resistance work, postural correction, cervical/scapular exercise, relaxation components, and sometimes manual or adjunctive therapies.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The authors argue that exercise may help through central pain modulation, reduced sensitisation, and better postural/musculoskeletal control.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Evidence quality was limited by heterogeneity, mixed intervention packages, and the practical difficulty of blinding participants and therapists.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The review’s clinical direction was to combine aerobic exercise suited to the patient with postural re-education and soft-tissue tension-reducing strategies where appropriate.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Bottom line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Exercise appears clinically worthwhile in chronic TTH and chronic migraine, but it should be prescribed as a tailored programme rather than as a vague instruction to “be more active”.</w:t>
            </w:r>
          </w:p>
        </w:tc>
        <w:tc>
          <w:tcPr>
            <w:tcW w:w="4968" w:type="dxa"/>
            <w:shd w:val="clear" w:color="auto" w:fill="EAF4F4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100"/>
              <w:rPr>
                <w:rFonts w:hint="eastAsia"/>
              </w:rPr>
            </w:pPr>
            <w:r>
              <w:rPr>
                <w:b/>
                <w:color w:val="0F4C5C"/>
              </w:rPr>
              <w:t>Clinical application panel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Good candidates: chronic TTH or chronic migraine with neck/shoulder dysfunction, sedentary lifestyle, postural strain, fear-avoidance, or persistent disability.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Helpful way to operationalise this in clinic: prescribe frequency, type, duration, and progression—eg, 2–3 sessions/week of cervical-scapular strengthening plus graded aerobic activity and home mobility work.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Expect exercise to work best as part of multimodal care, not as an isolated cure.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Counselling point: early symptom flares can occur; persistence with graded progression matters more than a perfect immediate response.</w:t>
            </w:r>
          </w:p>
        </w:tc>
      </w:tr>
    </w:tbl>
    <w:p w:rsidR="00703954" w:rsidRDefault="00703954">
      <w:pPr>
        <w:rPr>
          <w:rFonts w:hint="eastAsia"/>
        </w:rPr>
      </w:pPr>
    </w:p>
    <w:p w:rsidR="00703954" w:rsidRDefault="00C75CA8">
      <w:pPr>
        <w:pStyle w:val="Heading1"/>
        <w:spacing w:before="80" w:after="120"/>
      </w:pPr>
      <w:r>
        <w:t>4. Pharmacological prophylaxis for tension-type headache</w:t>
      </w:r>
    </w:p>
    <w:p w:rsidR="00703954" w:rsidRDefault="00C75CA8">
      <w:pPr>
        <w:rPr>
          <w:rFonts w:hint="eastAsia"/>
        </w:rPr>
      </w:pPr>
      <w:r>
        <w:rPr>
          <w:i/>
          <w:color w:val="5A6B72"/>
          <w:sz w:val="20"/>
        </w:rPr>
        <w:t>Tao QF, Hua C, Mou JJ, et al. Annals of Medicine. 2026.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03954">
        <w:trPr>
          <w:jc w:val="center"/>
        </w:trPr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Why this paper matters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This paper is clinically helpful because it compares multiple preventive options rather than reviewing one drug at a time. It broadly reinforces amitriptyline as the most evidence-supported conventional option for chronic TTH, while showing that other treatments may have signals but a weaker or less certain evidence base.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What the paper asked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Among pharmacological options studied for TTH prevention, which agents appear most effective and what are their trade-offs?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Study design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Systematic review and Bayesian network meta-analysis of 35 RCTs; 33 trials involved chronic TTH and 24 provided data for quantitative analysis.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Key clinically relevant findings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Amitriptyline 100 mg reduced monthly headache days versus placebo at 4 weeks (MD −6.59) and 8 weeks (MD −6.14).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Botulinum toxin A 100 U also reduced monthly headache days (MD −3.79; 95% CrI −7.16 to −0.33).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Amitriptyline 100 mg ranked highest for headache-day reduction at 4, 8, and 24 weeks; lidocaine 25 ml ranked highest at 12 weeks in the model.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Amitriptyline 100 mg and BTX-A 500 U were associated with higher adverse-event rates than placebo.</w:t>
            </w:r>
          </w:p>
          <w:p w:rsidR="00703954" w:rsidRDefault="00C75CA8">
            <w:pPr>
              <w:spacing w:after="60"/>
              <w:ind w:left="173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The certainty of evidence was low to very low, with substantial heterogeneity and many older or higher-risk trials.</w:t>
            </w:r>
          </w:p>
          <w:p w:rsidR="00703954" w:rsidRDefault="00C75CA8">
            <w:pPr>
              <w:spacing w:after="40"/>
              <w:rPr>
                <w:rFonts w:hint="eastAsia"/>
              </w:rPr>
            </w:pPr>
            <w:r>
              <w:rPr>
                <w:b/>
                <w:color w:val="0F4C5C"/>
              </w:rPr>
              <w:t>Bottom line</w:t>
            </w:r>
          </w:p>
          <w:p w:rsidR="00703954" w:rsidRDefault="00C75CA8">
            <w:pPr>
              <w:spacing w:after="100"/>
              <w:rPr>
                <w:rFonts w:hint="eastAsia"/>
              </w:rPr>
            </w:pPr>
            <w:r>
              <w:t>For chronic TTH prevention, amitriptyline remains the most defensible first pharmacological choice from this evidence base. BTX-A may be considered in selected cases, but certainty is lower and routine use should be cautious.</w:t>
            </w:r>
          </w:p>
        </w:tc>
        <w:tc>
          <w:tcPr>
            <w:tcW w:w="4968" w:type="dxa"/>
            <w:shd w:val="clear" w:color="auto" w:fill="EAF4F4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03954" w:rsidRDefault="00C75CA8">
            <w:pPr>
              <w:spacing w:after="100"/>
              <w:rPr>
                <w:rFonts w:hint="eastAsia"/>
              </w:rPr>
            </w:pPr>
            <w:r>
              <w:rPr>
                <w:b/>
                <w:color w:val="0F4C5C"/>
              </w:rPr>
              <w:t>Clinical application panel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Most practical application: keep amitriptyline as first-line prophylaxis unless comorbidity or tolerability argues otherwise.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Use the paper to support shared decision-making rather than to over-interpret rankings; the network is helpful, but the evidence quality is not strong enough to treat all rankings as stable truth.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If considering BTX-A, frame it as a selective option for refractory chronic TTH rather than a standard next step.</w:t>
            </w:r>
          </w:p>
          <w:p w:rsidR="00703954" w:rsidRDefault="00C75CA8">
            <w:pPr>
              <w:spacing w:after="80"/>
              <w:ind w:left="72"/>
              <w:rPr>
                <w:rFonts w:hint="eastAsia"/>
              </w:rPr>
            </w:pPr>
            <w:r>
              <w:rPr>
                <w:b/>
              </w:rPr>
              <w:t xml:space="preserve">• </w:t>
            </w:r>
            <w:r>
              <w:t>Clinical caveat: dose, tolerability, sedation, anticholinergic burden, and comorbidity still matter more than any single SUCRA ranking.</w:t>
            </w:r>
          </w:p>
        </w:tc>
      </w:tr>
    </w:tbl>
    <w:p w:rsidR="00703954" w:rsidRDefault="00C75CA8">
      <w:pPr>
        <w:pStyle w:val="Heading2"/>
      </w:pPr>
      <w:r>
        <w:t>How to use this document in clinic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Use the navigation pane to jump directly to a paper by topic.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Search by intervention name (for example: amitriptyline, acupuncture, mindfulness, exercise) to find practical summaries quickly.</w:t>
      </w:r>
    </w:p>
    <w:p w:rsidR="00703954" w:rsidRDefault="00C75CA8">
      <w:pPr>
        <w:ind w:left="288"/>
        <w:rPr>
          <w:rFonts w:hint="eastAsia"/>
        </w:rPr>
      </w:pPr>
      <w:r>
        <w:rPr>
          <w:b/>
        </w:rPr>
        <w:t xml:space="preserve">• </w:t>
      </w:r>
      <w:r>
        <w:t>These summaries are application-focused; if you are making a major treatment decision, review the original paper and the relevant guideline alongside the summary.</w:t>
      </w:r>
    </w:p>
    <w:sectPr w:rsidR="00703954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237A"/>
    <w:rsid w:val="00326F90"/>
    <w:rsid w:val="00703954"/>
    <w:rsid w:val="00AA1D8D"/>
    <w:rsid w:val="00B47730"/>
    <w:rsid w:val="00C75C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6343D"/>
  <w14:defaultImageDpi w14:val="300"/>
  <w15:docId w15:val="{EB3AB6EB-6900-453E-83D1-4286956D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C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C5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4C5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968D4F-FDE9-4244-943E-92D12A402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Saeedur Rahman</cp:lastModifiedBy>
  <cp:revision>3</cp:revision>
  <dcterms:created xsi:type="dcterms:W3CDTF">2013-12-23T23:15:00Z</dcterms:created>
  <dcterms:modified xsi:type="dcterms:W3CDTF">2026-03-24T14:44:00Z</dcterms:modified>
  <cp:category/>
</cp:coreProperties>
</file>