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AA1" w:rsidRDefault="00AD5A5A">
      <w:pPr>
        <w:spacing w:after="40"/>
        <w:jc w:val="center"/>
      </w:pPr>
      <w:r w:rsidRPr="00AD5A5A">
        <w:rPr>
          <w:b/>
          <w:color w:val="214682"/>
          <w:sz w:val="40"/>
        </w:rPr>
        <w:t xml:space="preserve">Clinically Relevant Short Summaries of Selected Headache Papers </w:t>
      </w:r>
      <w:r>
        <w:rPr>
          <w:b/>
          <w:color w:val="214682"/>
          <w:sz w:val="40"/>
        </w:rPr>
        <w:t>(Trigeminal Neuralgia)</w:t>
      </w:r>
    </w:p>
    <w:p w:rsidR="00C11AA1" w:rsidRDefault="00F07A03">
      <w:pPr>
        <w:spacing w:after="200"/>
        <w:jc w:val="center"/>
      </w:pPr>
      <w:r>
        <w:rPr>
          <w:i/>
          <w:color w:val="5C5C5C"/>
        </w:rPr>
        <w:t>Searchable briefing document with right-side clinical application panels</w:t>
      </w:r>
    </w:p>
    <w:tbl>
      <w:tblPr>
        <w:tblW w:w="0" w:type="auto"/>
        <w:jc w:val="center"/>
        <w:tblLayout w:type="fixed"/>
        <w:tblLook w:val="04A0" w:firstRow="1" w:lastRow="0" w:firstColumn="1" w:lastColumn="0" w:noHBand="0" w:noVBand="1"/>
      </w:tblPr>
      <w:tblGrid>
        <w:gridCol w:w="10080"/>
      </w:tblGrid>
      <w:tr w:rsidR="00C11AA1">
        <w:trPr>
          <w:jc w:val="center"/>
        </w:trPr>
        <w:tc>
          <w:tcPr>
            <w:tcW w:w="10080" w:type="dxa"/>
            <w:shd w:val="clear" w:color="auto" w:fill="EAF1FB"/>
            <w:tcMar>
              <w:top w:w="130" w:type="dxa"/>
              <w:left w:w="180" w:type="dxa"/>
              <w:bottom w:w="130" w:type="dxa"/>
              <w:right w:w="180" w:type="dxa"/>
            </w:tcMar>
            <w:vAlign w:val="center"/>
          </w:tcPr>
          <w:p w:rsidR="00C11AA1" w:rsidRDefault="00F07A03">
            <w:pPr>
              <w:spacing w:after="0"/>
            </w:pPr>
            <w:r>
              <w:rPr>
                <w:b/>
                <w:color w:val="214682"/>
              </w:rPr>
              <w:t xml:space="preserve">Purpose: </w:t>
            </w:r>
            <w:r>
              <w:t xml:space="preserve">rapid, clinically usable summaries of recent trigeminal neuralgia evidence, written so a </w:t>
            </w:r>
            <w:r>
              <w:t>clinician can quickly translate the papers into practical decision-making.</w:t>
            </w:r>
          </w:p>
        </w:tc>
      </w:tr>
    </w:tbl>
    <w:p w:rsidR="00C11AA1" w:rsidRDefault="00F07A03">
      <w:pPr>
        <w:pStyle w:val="Heading2"/>
      </w:pPr>
      <w:r>
        <w:t>Included papers</w:t>
      </w:r>
    </w:p>
    <w:p w:rsidR="00C11AA1" w:rsidRDefault="00F07A03">
      <w:pPr>
        <w:pStyle w:val="ListBullet"/>
        <w:spacing w:after="40"/>
      </w:pPr>
      <w:r>
        <w:t>Anticonvulsant Therapy in Trigeminal Neuralgia: A Class-Oriented Systematic Review (Medicines, 2026)</w:t>
      </w:r>
    </w:p>
    <w:p w:rsidR="00C11AA1" w:rsidRDefault="00F07A03">
      <w:pPr>
        <w:pStyle w:val="ListBullet"/>
        <w:spacing w:after="40"/>
      </w:pPr>
      <w:r>
        <w:t xml:space="preserve">Lidocaine Infusion for the Treatment of Intractable Trigeminal </w:t>
      </w:r>
      <w:r>
        <w:t>Neuralgia: Retrospective Case Series and Systematic Review (Acta Neurochirurgica, 2025)</w:t>
      </w:r>
    </w:p>
    <w:p w:rsidR="00C11AA1" w:rsidRDefault="00F07A03">
      <w:pPr>
        <w:pStyle w:val="ListBullet"/>
        <w:spacing w:after="40"/>
      </w:pPr>
      <w:r>
        <w:t>Comparison of Stereotactic Radiosurgery and Rhizotomy for Trigeminal Neuralgia: A Systematic Review and Meta-Analysis (Neurosurgical Review, 2025)</w:t>
      </w:r>
    </w:p>
    <w:p w:rsidR="00C11AA1" w:rsidRDefault="00F07A03">
      <w:pPr>
        <w:pStyle w:val="ListBullet"/>
        <w:spacing w:after="40"/>
      </w:pPr>
      <w:r>
        <w:t>Radiofrequency Rhizot</w:t>
      </w:r>
      <w:r>
        <w:t>omy for Multiple Sclerosis-Related Trigeminal Neuralgia: A Systematic Review and Meta-Analysis (BMC Surgery, 2025)</w:t>
      </w:r>
    </w:p>
    <w:p w:rsidR="00C11AA1" w:rsidRPr="00F07A03" w:rsidRDefault="00F07A03">
      <w:pPr>
        <w:pStyle w:val="Heading1"/>
        <w:spacing w:after="20"/>
        <w:rPr>
          <w:rFonts w:ascii="Aptos" w:eastAsia="Aptos" w:hAnsi="Aptos"/>
        </w:rPr>
      </w:pPr>
      <w:bookmarkStart w:id="0" w:name="_GoBack"/>
      <w:bookmarkEnd w:id="0"/>
      <w:r>
        <w:rPr>
          <w:rFonts w:ascii="Aptos" w:eastAsia="Aptos" w:hAnsi="Aptos"/>
        </w:rPr>
        <w:t xml:space="preserve">1. </w:t>
      </w:r>
      <w:r>
        <w:rPr>
          <w:rFonts w:ascii="Aptos" w:eastAsia="Aptos" w:hAnsi="Aptos"/>
        </w:rPr>
        <w:t>Anticonvulsant Therapy in Trigeminal Neuralgia: A Class-Oriented Systematic Review</w:t>
      </w:r>
    </w:p>
    <w:p w:rsidR="00C11AA1" w:rsidRDefault="00F07A03">
      <w:pPr>
        <w:spacing w:after="120"/>
      </w:pPr>
      <w:r>
        <w:rPr>
          <w:i/>
          <w:color w:val="5C5C5C"/>
          <w:sz w:val="20"/>
        </w:rPr>
        <w:t>Moreira MP, Carneiro BD, Faria CS, Pozza DH, Fonseca S</w:t>
      </w:r>
      <w:r>
        <w:rPr>
          <w:i/>
          <w:color w:val="5C5C5C"/>
          <w:sz w:val="20"/>
        </w:rPr>
        <w:t>. Medicines. 2026.</w:t>
      </w:r>
    </w:p>
    <w:tbl>
      <w:tblPr>
        <w:tblW w:w="0" w:type="auto"/>
        <w:jc w:val="center"/>
        <w:tblLayout w:type="fixed"/>
        <w:tblLook w:val="04A0" w:firstRow="1" w:lastRow="0" w:firstColumn="1" w:lastColumn="0" w:noHBand="0" w:noVBand="1"/>
      </w:tblPr>
      <w:tblGrid>
        <w:gridCol w:w="5040"/>
        <w:gridCol w:w="5040"/>
      </w:tblGrid>
      <w:tr w:rsidR="00C11AA1">
        <w:trPr>
          <w:jc w:val="center"/>
        </w:trPr>
        <w:tc>
          <w:tcPr>
            <w:tcW w:w="5040" w:type="dxa"/>
            <w:shd w:val="clear" w:color="auto" w:fill="F7F9FC"/>
            <w:tcMar>
              <w:top w:w="90" w:type="dxa"/>
              <w:left w:w="130" w:type="dxa"/>
              <w:bottom w:w="90" w:type="dxa"/>
              <w:right w:w="130" w:type="dxa"/>
            </w:tcMar>
          </w:tcPr>
          <w:p w:rsidR="00C11AA1" w:rsidRDefault="00C11AA1"/>
          <w:p w:rsidR="00C11AA1" w:rsidRDefault="00F07A03">
            <w:pPr>
              <w:spacing w:after="60"/>
            </w:pPr>
            <w:r>
              <w:rPr>
                <w:b/>
                <w:color w:val="305496"/>
              </w:rPr>
              <w:t xml:space="preserve">Why this paper matters: </w:t>
            </w:r>
            <w:r>
              <w:t>Useful when choosing or sequencing drug therapy beyond simply defaulting to carbamazepine. The paper compares anticonvulsants by mechanism rather than by single-drug narrative, which is clinically helpful when ba</w:t>
            </w:r>
            <w:r>
              <w:t>lancing efficacy against tolerability.</w:t>
            </w:r>
          </w:p>
          <w:p w:rsidR="00C11AA1" w:rsidRDefault="00F07A03">
            <w:pPr>
              <w:spacing w:after="60"/>
            </w:pPr>
            <w:r>
              <w:rPr>
                <w:b/>
                <w:color w:val="305496"/>
              </w:rPr>
              <w:t xml:space="preserve">Design: </w:t>
            </w:r>
            <w:r>
              <w:t>Systematic review of 12 studies identified from 922 records. The evidence base included randomized and non-randomized studies and was limited by heterogeneity and variable study quality.</w:t>
            </w:r>
          </w:p>
          <w:p w:rsidR="00C11AA1" w:rsidRDefault="00F07A03">
            <w:pPr>
              <w:spacing w:after="60"/>
            </w:pPr>
            <w:r>
              <w:rPr>
                <w:b/>
                <w:color w:val="305496"/>
              </w:rPr>
              <w:t xml:space="preserve">Main findings: </w:t>
            </w:r>
            <w:r>
              <w:t>Sodium-</w:t>
            </w:r>
            <w:r>
              <w:t>channel blockers remained the most effective class overall. Carbamazepine had high efficacy but frequent central nervous system and haematologic adverse effects. Oxcarbazepine showed similar efficacy with better tolerability, although hyponatraemia remaine</w:t>
            </w:r>
            <w:r>
              <w:t xml:space="preserve">d important. Lamotrigine emerged as a reasonable better-tolerated alternative in selected patients. Gabapentin-based strategies offered a safer profile, especially when combined with local anaesthetic block, but efficacy was generally lower. Levetiracetam </w:t>
            </w:r>
            <w:r>
              <w:t>and topiramate appeared moderately effective and reasonably well tolerated, but supporting evidence was limited.</w:t>
            </w:r>
          </w:p>
          <w:p w:rsidR="00C11AA1" w:rsidRDefault="00F07A03">
            <w:pPr>
              <w:spacing w:after="60"/>
            </w:pPr>
            <w:r>
              <w:rPr>
                <w:b/>
                <w:color w:val="305496"/>
              </w:rPr>
              <w:t xml:space="preserve">Practical interpretation: </w:t>
            </w:r>
            <w:r>
              <w:t xml:space="preserve">This review supports a mechanism-based prescribing approach. If rapid and </w:t>
            </w:r>
            <w:r>
              <w:lastRenderedPageBreak/>
              <w:t>strong efficacy is required, sodium-channel</w:t>
            </w:r>
            <w:r>
              <w:t xml:space="preserve"> blockers still dominate. If tolerability, frailty, drug interactions, or prior adverse effects are the main concern, clinicians may need to move earlier to alternative agents or combined strategies.</w:t>
            </w:r>
          </w:p>
          <w:p w:rsidR="00C11AA1" w:rsidRDefault="00F07A03">
            <w:pPr>
              <w:spacing w:after="60"/>
            </w:pPr>
            <w:r>
              <w:rPr>
                <w:b/>
                <w:color w:val="305496"/>
              </w:rPr>
              <w:t xml:space="preserve">Important caveats: </w:t>
            </w:r>
            <w:r>
              <w:t>The review is not a network meta-anal</w:t>
            </w:r>
            <w:r>
              <w:t>ysis and the included studies were small and methodologically uneven, so the paper is more useful for structured clinical reasoning than for a rigid treatment algorithm.</w:t>
            </w:r>
          </w:p>
        </w:tc>
        <w:tc>
          <w:tcPr>
            <w:tcW w:w="5040" w:type="dxa"/>
            <w:shd w:val="clear" w:color="auto" w:fill="EAF1FB"/>
            <w:tcMar>
              <w:top w:w="90" w:type="dxa"/>
              <w:left w:w="130" w:type="dxa"/>
              <w:bottom w:w="90" w:type="dxa"/>
              <w:right w:w="130" w:type="dxa"/>
            </w:tcMar>
          </w:tcPr>
          <w:p w:rsidR="00C11AA1" w:rsidRDefault="00F07A03">
            <w:r>
              <w:rPr>
                <w:b/>
                <w:color w:val="214682"/>
              </w:rPr>
              <w:lastRenderedPageBreak/>
              <w:t>Clinical application panel</w:t>
            </w:r>
          </w:p>
          <w:p w:rsidR="00C11AA1" w:rsidRDefault="00F07A03">
            <w:pPr>
              <w:pStyle w:val="ListBullet"/>
              <w:spacing w:after="40"/>
            </w:pPr>
            <w:r>
              <w:t>Carbamazepine and oxcarbazepine remain the benchmark first-</w:t>
            </w:r>
            <w:r>
              <w:t>line choices when tolerated.</w:t>
            </w:r>
          </w:p>
          <w:p w:rsidR="00C11AA1" w:rsidRDefault="00F07A03">
            <w:pPr>
              <w:pStyle w:val="ListBullet"/>
              <w:spacing w:after="40"/>
            </w:pPr>
            <w:r>
              <w:t>Monitor sodium closely with oxcarbazepine and eslicarbazepine, especially in older adults and those on diuretics.</w:t>
            </w:r>
          </w:p>
          <w:p w:rsidR="00C11AA1" w:rsidRDefault="00F07A03">
            <w:pPr>
              <w:pStyle w:val="ListBullet"/>
              <w:spacing w:after="40"/>
            </w:pPr>
            <w:r>
              <w:t>Lamotrigine is a sensible option when sodium-channel blockade is still desired but carbamazepine-type toxicity is</w:t>
            </w:r>
            <w:r>
              <w:t xml:space="preserve"> problematic.</w:t>
            </w:r>
          </w:p>
          <w:p w:rsidR="00C11AA1" w:rsidRDefault="00F07A03">
            <w:pPr>
              <w:pStyle w:val="ListBullet"/>
              <w:spacing w:after="40"/>
            </w:pPr>
            <w:r>
              <w:t>Gabapentinoids may be more attractive when tolerability and multimorbidity matter more than maximal efficacy.</w:t>
            </w:r>
          </w:p>
          <w:p w:rsidR="00C11AA1" w:rsidRDefault="00F07A03">
            <w:pPr>
              <w:pStyle w:val="ListBullet"/>
              <w:spacing w:after="40"/>
            </w:pPr>
            <w:r>
              <w:t>Use this review to justify individualised prescribing rather than a one-size-fits-all sequence.</w:t>
            </w:r>
          </w:p>
        </w:tc>
      </w:tr>
    </w:tbl>
    <w:p w:rsidR="00C11AA1" w:rsidRDefault="00C11AA1"/>
    <w:p w:rsidR="00C11AA1" w:rsidRDefault="00F07A03">
      <w:pPr>
        <w:pStyle w:val="Heading1"/>
        <w:spacing w:after="20"/>
      </w:pPr>
      <w:r>
        <w:rPr>
          <w:rFonts w:ascii="Aptos" w:eastAsia="Aptos" w:hAnsi="Aptos"/>
        </w:rPr>
        <w:t>2. Lidocaine Infusion for the Trea</w:t>
      </w:r>
      <w:r>
        <w:rPr>
          <w:rFonts w:ascii="Aptos" w:eastAsia="Aptos" w:hAnsi="Aptos"/>
        </w:rPr>
        <w:t>tment of Intractable Trigeminal Neuralgia: Retrospective Case Series and Systematic Review</w:t>
      </w:r>
    </w:p>
    <w:p w:rsidR="00C11AA1" w:rsidRDefault="00F07A03">
      <w:pPr>
        <w:spacing w:after="120"/>
      </w:pPr>
      <w:r>
        <w:rPr>
          <w:i/>
          <w:color w:val="5C5C5C"/>
          <w:sz w:val="20"/>
        </w:rPr>
        <w:t>Mohamed MW, Irem-Oko F, Sheikh A, Phillips N, Mckinlay J, Anderson I. Acta Neurochirurgica. 2025.</w:t>
      </w:r>
    </w:p>
    <w:tbl>
      <w:tblPr>
        <w:tblW w:w="0" w:type="auto"/>
        <w:jc w:val="center"/>
        <w:tblLayout w:type="fixed"/>
        <w:tblLook w:val="04A0" w:firstRow="1" w:lastRow="0" w:firstColumn="1" w:lastColumn="0" w:noHBand="0" w:noVBand="1"/>
      </w:tblPr>
      <w:tblGrid>
        <w:gridCol w:w="5040"/>
        <w:gridCol w:w="5040"/>
      </w:tblGrid>
      <w:tr w:rsidR="00C11AA1">
        <w:trPr>
          <w:jc w:val="center"/>
        </w:trPr>
        <w:tc>
          <w:tcPr>
            <w:tcW w:w="5040" w:type="dxa"/>
            <w:shd w:val="clear" w:color="auto" w:fill="F7F9FC"/>
            <w:tcMar>
              <w:top w:w="90" w:type="dxa"/>
              <w:left w:w="130" w:type="dxa"/>
              <w:bottom w:w="90" w:type="dxa"/>
              <w:right w:w="130" w:type="dxa"/>
            </w:tcMar>
          </w:tcPr>
          <w:p w:rsidR="00C11AA1" w:rsidRDefault="00C11AA1"/>
          <w:p w:rsidR="00C11AA1" w:rsidRDefault="00F07A03">
            <w:pPr>
              <w:spacing w:after="60"/>
            </w:pPr>
            <w:r>
              <w:rPr>
                <w:b/>
                <w:color w:val="305496"/>
              </w:rPr>
              <w:t xml:space="preserve">Why this paper matters: </w:t>
            </w:r>
            <w:r>
              <w:t>Helpful for refractory trigeminal neuralgi</w:t>
            </w:r>
            <w:r>
              <w:t>a when standard oral agents are failing, surgery is unsuitable, or urgent symptom control is needed without immediately escalating to another invasive procedure.</w:t>
            </w:r>
          </w:p>
          <w:p w:rsidR="00C11AA1" w:rsidRDefault="00F07A03">
            <w:pPr>
              <w:spacing w:after="60"/>
            </w:pPr>
            <w:r>
              <w:rPr>
                <w:b/>
                <w:color w:val="305496"/>
              </w:rPr>
              <w:t xml:space="preserve">Design: </w:t>
            </w:r>
            <w:r>
              <w:t xml:space="preserve">Single-centre UK retrospective case series of 20 patients plus systematic review. </w:t>
            </w:r>
            <w:r>
              <w:t>Their local protocol used 1.5 mg/kg intravenous lidocaine over 60 minutes with cardiac and physiological monitoring.</w:t>
            </w:r>
          </w:p>
          <w:p w:rsidR="00C11AA1" w:rsidRDefault="00F07A03">
            <w:pPr>
              <w:spacing w:after="60"/>
            </w:pPr>
            <w:r>
              <w:rPr>
                <w:b/>
                <w:color w:val="305496"/>
              </w:rPr>
              <w:t xml:space="preserve">Main findings: </w:t>
            </w:r>
            <w:r>
              <w:t>In the Leeds series, after the first infusion 16 of 20 patients (80%) achieved BNI III control, one achieved BNI II, and thr</w:t>
            </w:r>
            <w:r>
              <w:t>ee did not respond. Duration of benefit after the first infusion was more than 6 months in 45%, 3 to 6 months in 25%, and less than 3 months in 30%. Across the combined literature and local data, most patients improved rather than became fully pain-free; t</w:t>
            </w:r>
            <w:r>
              <w:t>he intervention appears more like a disease-control or rescue strategy than a curative treatment. No treatment-related significant adverse events were reported in the centre series.</w:t>
            </w:r>
          </w:p>
          <w:p w:rsidR="00C11AA1" w:rsidRDefault="00F07A03">
            <w:pPr>
              <w:spacing w:after="60"/>
            </w:pPr>
            <w:r>
              <w:rPr>
                <w:b/>
                <w:color w:val="305496"/>
              </w:rPr>
              <w:t xml:space="preserve">Practical interpretation: </w:t>
            </w:r>
            <w:r>
              <w:t xml:space="preserve">The key message is not that lidocaine abolishes </w:t>
            </w:r>
            <w:r>
              <w:t>trigeminal neuralgia, but that it can convert uncontrolled refractory pain into a more manageable state while background medication is continued. Repeat infusions may still work in prior responders.</w:t>
            </w:r>
          </w:p>
          <w:p w:rsidR="00C11AA1" w:rsidRDefault="00F07A03">
            <w:pPr>
              <w:spacing w:after="60"/>
            </w:pPr>
            <w:r>
              <w:rPr>
                <w:b/>
                <w:color w:val="305496"/>
              </w:rPr>
              <w:t xml:space="preserve">Important caveats: </w:t>
            </w:r>
            <w:r>
              <w:t>Evidence remains small, heterogeneous,</w:t>
            </w:r>
            <w:r>
              <w:t xml:space="preserve"> and mostly non-randomized. Outcome definitions varied, and long-term durability data are limited.</w:t>
            </w:r>
          </w:p>
        </w:tc>
        <w:tc>
          <w:tcPr>
            <w:tcW w:w="5040" w:type="dxa"/>
            <w:shd w:val="clear" w:color="auto" w:fill="EAF1FB"/>
            <w:tcMar>
              <w:top w:w="90" w:type="dxa"/>
              <w:left w:w="130" w:type="dxa"/>
              <w:bottom w:w="90" w:type="dxa"/>
              <w:right w:w="130" w:type="dxa"/>
            </w:tcMar>
          </w:tcPr>
          <w:p w:rsidR="00C11AA1" w:rsidRDefault="00F07A03">
            <w:r>
              <w:rPr>
                <w:b/>
                <w:color w:val="214682"/>
              </w:rPr>
              <w:t>Clinical application panel</w:t>
            </w:r>
          </w:p>
          <w:p w:rsidR="00C11AA1" w:rsidRDefault="00F07A03">
            <w:pPr>
              <w:pStyle w:val="ListBullet"/>
              <w:spacing w:after="40"/>
            </w:pPr>
            <w:r>
              <w:t>Think of IV lidocaine as an adjunctive rescue or bridging treatment, not a replacement for definitive management.</w:t>
            </w:r>
          </w:p>
          <w:p w:rsidR="00C11AA1" w:rsidRDefault="00F07A03">
            <w:pPr>
              <w:pStyle w:val="ListBullet"/>
              <w:spacing w:after="40"/>
            </w:pPr>
            <w:r>
              <w:t>Best suited to r</w:t>
            </w:r>
            <w:r>
              <w:t>efractory worsening trigeminal neuralgia, patients awaiting other procedures, or those not fit for surgery.</w:t>
            </w:r>
          </w:p>
          <w:p w:rsidR="00C11AA1" w:rsidRDefault="00F07A03">
            <w:pPr>
              <w:pStyle w:val="ListBullet"/>
              <w:spacing w:after="40"/>
            </w:pPr>
            <w:r>
              <w:t>Continue baseline medical therapy after infusion; this is how the reported benefit was achieved.</w:t>
            </w:r>
          </w:p>
          <w:p w:rsidR="00C11AA1" w:rsidRDefault="00F07A03">
            <w:pPr>
              <w:pStyle w:val="ListBullet"/>
              <w:spacing w:after="40"/>
            </w:pPr>
            <w:r>
              <w:t>If the first infusion helps, repeat dosing may be r</w:t>
            </w:r>
            <w:r>
              <w:t>easonable in relapse-prone patients.</w:t>
            </w:r>
          </w:p>
          <w:p w:rsidR="00C11AA1" w:rsidRDefault="00F07A03">
            <w:pPr>
              <w:pStyle w:val="ListBullet"/>
              <w:spacing w:after="40"/>
            </w:pPr>
            <w:r>
              <w:t>Use only in settings with appropriate monitoring and protocols.</w:t>
            </w:r>
          </w:p>
        </w:tc>
      </w:tr>
    </w:tbl>
    <w:p w:rsidR="00C11AA1" w:rsidRDefault="00C11AA1"/>
    <w:p w:rsidR="00C11AA1" w:rsidRDefault="00F07A03">
      <w:pPr>
        <w:pStyle w:val="Heading1"/>
        <w:spacing w:after="20"/>
      </w:pPr>
      <w:r>
        <w:rPr>
          <w:rFonts w:ascii="Aptos" w:eastAsia="Aptos" w:hAnsi="Aptos"/>
        </w:rPr>
        <w:lastRenderedPageBreak/>
        <w:t>3. Comparison of Stereotactic Radiosurgery and Rhizotomy for Trigeminal Neuralgia: A Systematic Review and Meta-Analysis</w:t>
      </w:r>
    </w:p>
    <w:p w:rsidR="00C11AA1" w:rsidRDefault="00F07A03">
      <w:pPr>
        <w:spacing w:after="120"/>
      </w:pPr>
      <w:r>
        <w:rPr>
          <w:i/>
          <w:color w:val="5C5C5C"/>
          <w:sz w:val="20"/>
        </w:rPr>
        <w:t>Soltani Khaboushan A, Maroufi SF</w:t>
      </w:r>
      <w:r>
        <w:rPr>
          <w:i/>
          <w:color w:val="5C5C5C"/>
          <w:sz w:val="20"/>
        </w:rPr>
        <w:t>, Jarrah N, Moafi M, Sabahi M, Borghei-Razavi H, Sheehan JP. Neurosurgical Review. 2025.</w:t>
      </w:r>
    </w:p>
    <w:tbl>
      <w:tblPr>
        <w:tblW w:w="0" w:type="auto"/>
        <w:jc w:val="center"/>
        <w:tblLayout w:type="fixed"/>
        <w:tblLook w:val="04A0" w:firstRow="1" w:lastRow="0" w:firstColumn="1" w:lastColumn="0" w:noHBand="0" w:noVBand="1"/>
      </w:tblPr>
      <w:tblGrid>
        <w:gridCol w:w="5040"/>
        <w:gridCol w:w="5040"/>
      </w:tblGrid>
      <w:tr w:rsidR="00C11AA1">
        <w:trPr>
          <w:jc w:val="center"/>
        </w:trPr>
        <w:tc>
          <w:tcPr>
            <w:tcW w:w="5040" w:type="dxa"/>
            <w:shd w:val="clear" w:color="auto" w:fill="F7F9FC"/>
            <w:tcMar>
              <w:top w:w="90" w:type="dxa"/>
              <w:left w:w="130" w:type="dxa"/>
              <w:bottom w:w="90" w:type="dxa"/>
              <w:right w:w="130" w:type="dxa"/>
            </w:tcMar>
          </w:tcPr>
          <w:p w:rsidR="00C11AA1" w:rsidRDefault="00C11AA1"/>
          <w:p w:rsidR="00C11AA1" w:rsidRDefault="00F07A03">
            <w:pPr>
              <w:spacing w:after="60"/>
            </w:pPr>
            <w:r>
              <w:rPr>
                <w:b/>
                <w:color w:val="305496"/>
              </w:rPr>
              <w:t xml:space="preserve">Why this paper matters: </w:t>
            </w:r>
            <w:r>
              <w:t>Useful when counselling patients who are not proceeding to microvascular decompression and need a choice between a less invasive but slower-ac</w:t>
            </w:r>
            <w:r>
              <w:t>ting option and a faster-acting ablative option.</w:t>
            </w:r>
          </w:p>
          <w:p w:rsidR="00C11AA1" w:rsidRDefault="00F07A03">
            <w:pPr>
              <w:spacing w:after="60"/>
            </w:pPr>
            <w:r>
              <w:rPr>
                <w:b/>
                <w:color w:val="305496"/>
              </w:rPr>
              <w:t xml:space="preserve">Design: </w:t>
            </w:r>
            <w:r>
              <w:t>Systematic review and meta-analysis of 15 studies including 1,251 patients: 577 treated with stereotactic radiosurgery and 674 with rhizotomy techniques.</w:t>
            </w:r>
          </w:p>
          <w:p w:rsidR="00C11AA1" w:rsidRDefault="00F07A03">
            <w:pPr>
              <w:spacing w:after="60"/>
            </w:pPr>
            <w:r>
              <w:rPr>
                <w:b/>
                <w:color w:val="305496"/>
              </w:rPr>
              <w:t xml:space="preserve">Main findings: </w:t>
            </w:r>
            <w:r>
              <w:t>Rhizotomy produced better init</w:t>
            </w:r>
            <w:r>
              <w:t>ial pain-free outcomes, which fits its role as a fast-acting intervention. However, stereotactic radiosurgery showed no significant disadvantage in pain-free status at the last follow-up and no significant difference in overall pain relief. SRS reduced rec</w:t>
            </w:r>
            <w:r>
              <w:t>urrence, retreatment, and facial numbness compared with rhizotomy. Overall complication rates were similar, but SRS trended toward fewer complications in patients with multiple sclerosis.</w:t>
            </w:r>
          </w:p>
          <w:p w:rsidR="00C11AA1" w:rsidRDefault="00F07A03">
            <w:pPr>
              <w:spacing w:after="60"/>
            </w:pPr>
            <w:r>
              <w:rPr>
                <w:b/>
                <w:color w:val="305496"/>
              </w:rPr>
              <w:t xml:space="preserve">Practical interpretation: </w:t>
            </w:r>
            <w:r>
              <w:t xml:space="preserve">This paper strongly supports matching the </w:t>
            </w:r>
            <w:r>
              <w:t>procedure to the clinical problem. If the patient needs rapid relief, rhizotomy is usually the more suitable choice. If the patient prioritises durability, lower retreatment burden, and fewer sensory complications, SRS may be preferable.</w:t>
            </w:r>
          </w:p>
          <w:p w:rsidR="00C11AA1" w:rsidRDefault="00F07A03">
            <w:pPr>
              <w:spacing w:after="60"/>
            </w:pPr>
            <w:r>
              <w:rPr>
                <w:b/>
                <w:color w:val="305496"/>
              </w:rPr>
              <w:t>Important caveats:</w:t>
            </w:r>
            <w:r>
              <w:rPr>
                <w:b/>
                <w:color w:val="305496"/>
              </w:rPr>
              <w:t xml:space="preserve"> </w:t>
            </w:r>
            <w:r>
              <w:t>The evidence was retrospective and heterogeneous. Rhizotomy was analysed as a family of procedures rather than as one uniform technique, and protocol variation in radiosurgery also limits precision.</w:t>
            </w:r>
          </w:p>
        </w:tc>
        <w:tc>
          <w:tcPr>
            <w:tcW w:w="5040" w:type="dxa"/>
            <w:shd w:val="clear" w:color="auto" w:fill="EAF1FB"/>
            <w:tcMar>
              <w:top w:w="90" w:type="dxa"/>
              <w:left w:w="130" w:type="dxa"/>
              <w:bottom w:w="90" w:type="dxa"/>
              <w:right w:w="130" w:type="dxa"/>
            </w:tcMar>
          </w:tcPr>
          <w:p w:rsidR="00C11AA1" w:rsidRDefault="00F07A03">
            <w:r>
              <w:rPr>
                <w:b/>
                <w:color w:val="214682"/>
              </w:rPr>
              <w:t>Clinical application panel</w:t>
            </w:r>
          </w:p>
          <w:p w:rsidR="00C11AA1" w:rsidRDefault="00F07A03">
            <w:pPr>
              <w:pStyle w:val="ListBullet"/>
              <w:spacing w:after="40"/>
            </w:pPr>
            <w:r>
              <w:t xml:space="preserve">Rhizotomy: faster onset, </w:t>
            </w:r>
            <w:r>
              <w:t>stronger immediate pain-free rates, but more numbness and more retreatment.</w:t>
            </w:r>
          </w:p>
          <w:p w:rsidR="00C11AA1" w:rsidRDefault="00F07A03">
            <w:pPr>
              <w:pStyle w:val="ListBullet"/>
              <w:spacing w:after="40"/>
            </w:pPr>
            <w:r>
              <w:t>SRS: slower onset, but better durability and lower sensory morbidity.</w:t>
            </w:r>
          </w:p>
          <w:p w:rsidR="00C11AA1" w:rsidRDefault="00F07A03">
            <w:pPr>
              <w:pStyle w:val="ListBullet"/>
              <w:spacing w:after="40"/>
            </w:pPr>
            <w:r>
              <w:t xml:space="preserve">This is especially helpful for shared decision-making in older or medically complex patients not suitable for </w:t>
            </w:r>
            <w:r>
              <w:t>open surgery.</w:t>
            </w:r>
          </w:p>
          <w:p w:rsidR="00C11AA1" w:rsidRDefault="00F07A03">
            <w:pPr>
              <w:pStyle w:val="ListBullet"/>
              <w:spacing w:after="40"/>
            </w:pPr>
            <w:r>
              <w:t>For MS-related TN, be cautious: outcomes are generally harder, but SRS may offer a lower complication burden.</w:t>
            </w:r>
          </w:p>
          <w:p w:rsidR="00C11AA1" w:rsidRDefault="00F07A03">
            <w:pPr>
              <w:pStyle w:val="ListBullet"/>
              <w:spacing w:after="40"/>
            </w:pPr>
            <w:r>
              <w:t>Use patient priorities - urgency of relief versus durability - as the central decision axis.</w:t>
            </w:r>
          </w:p>
        </w:tc>
      </w:tr>
    </w:tbl>
    <w:p w:rsidR="00C11AA1" w:rsidRDefault="00C11AA1"/>
    <w:p w:rsidR="00F07A03" w:rsidRDefault="00F07A03">
      <w:pPr>
        <w:pStyle w:val="Heading1"/>
        <w:spacing w:after="20"/>
        <w:rPr>
          <w:rFonts w:ascii="Aptos" w:eastAsia="Aptos" w:hAnsi="Aptos"/>
        </w:rPr>
      </w:pPr>
    </w:p>
    <w:p w:rsidR="00F07A03" w:rsidRDefault="00F07A03">
      <w:pPr>
        <w:pStyle w:val="Heading1"/>
        <w:spacing w:after="20"/>
        <w:rPr>
          <w:rFonts w:ascii="Aptos" w:eastAsia="Aptos" w:hAnsi="Aptos"/>
        </w:rPr>
      </w:pPr>
    </w:p>
    <w:p w:rsidR="00F07A03" w:rsidRDefault="00F07A03">
      <w:pPr>
        <w:pStyle w:val="Heading1"/>
        <w:spacing w:after="20"/>
        <w:rPr>
          <w:rFonts w:ascii="Aptos" w:eastAsia="Aptos" w:hAnsi="Aptos"/>
        </w:rPr>
      </w:pPr>
    </w:p>
    <w:p w:rsidR="00F07A03" w:rsidRDefault="00F07A03">
      <w:pPr>
        <w:pStyle w:val="Heading1"/>
        <w:spacing w:after="20"/>
        <w:rPr>
          <w:rFonts w:ascii="Aptos" w:eastAsia="Aptos" w:hAnsi="Aptos"/>
        </w:rPr>
      </w:pPr>
    </w:p>
    <w:p w:rsidR="00F07A03" w:rsidRDefault="00F07A03">
      <w:pPr>
        <w:pStyle w:val="Heading1"/>
        <w:spacing w:after="20"/>
        <w:rPr>
          <w:rFonts w:ascii="Aptos" w:eastAsia="Aptos" w:hAnsi="Aptos"/>
        </w:rPr>
      </w:pPr>
    </w:p>
    <w:p w:rsidR="00C11AA1" w:rsidRDefault="00F07A03">
      <w:pPr>
        <w:pStyle w:val="Heading1"/>
        <w:spacing w:after="20"/>
      </w:pPr>
      <w:r>
        <w:rPr>
          <w:rFonts w:ascii="Aptos" w:eastAsia="Aptos" w:hAnsi="Aptos"/>
        </w:rPr>
        <w:t>4. Radiofrequency Rhizotomy for Multi</w:t>
      </w:r>
      <w:r>
        <w:rPr>
          <w:rFonts w:ascii="Aptos" w:eastAsia="Aptos" w:hAnsi="Aptos"/>
        </w:rPr>
        <w:t>ple Sclerosis-Related Trigeminal Neuralgia: A Systematic Review and Meta-Analysis</w:t>
      </w:r>
    </w:p>
    <w:p w:rsidR="00C11AA1" w:rsidRDefault="00F07A03">
      <w:pPr>
        <w:spacing w:after="120"/>
      </w:pPr>
      <w:r>
        <w:rPr>
          <w:i/>
          <w:color w:val="5C5C5C"/>
          <w:sz w:val="20"/>
        </w:rPr>
        <w:t>Hajikarimloo B, Tos SM, Mohammadzadeh I, Najari D, Ebrahimi A, Hasanzade A, Ghorbanpouryami F, Habibi MA. BMC Surgery. 2025.</w:t>
      </w:r>
    </w:p>
    <w:tbl>
      <w:tblPr>
        <w:tblW w:w="0" w:type="auto"/>
        <w:jc w:val="center"/>
        <w:tblLayout w:type="fixed"/>
        <w:tblLook w:val="04A0" w:firstRow="1" w:lastRow="0" w:firstColumn="1" w:lastColumn="0" w:noHBand="0" w:noVBand="1"/>
      </w:tblPr>
      <w:tblGrid>
        <w:gridCol w:w="5040"/>
        <w:gridCol w:w="5040"/>
      </w:tblGrid>
      <w:tr w:rsidR="00C11AA1">
        <w:trPr>
          <w:jc w:val="center"/>
        </w:trPr>
        <w:tc>
          <w:tcPr>
            <w:tcW w:w="5040" w:type="dxa"/>
            <w:shd w:val="clear" w:color="auto" w:fill="F7F9FC"/>
            <w:tcMar>
              <w:top w:w="90" w:type="dxa"/>
              <w:left w:w="130" w:type="dxa"/>
              <w:bottom w:w="90" w:type="dxa"/>
              <w:right w:w="130" w:type="dxa"/>
            </w:tcMar>
          </w:tcPr>
          <w:p w:rsidR="00C11AA1" w:rsidRDefault="00C11AA1"/>
          <w:p w:rsidR="00C11AA1" w:rsidRDefault="00F07A03">
            <w:pPr>
              <w:spacing w:after="60"/>
            </w:pPr>
            <w:r>
              <w:rPr>
                <w:b/>
                <w:color w:val="305496"/>
              </w:rPr>
              <w:t xml:space="preserve">Why this paper matters: </w:t>
            </w:r>
            <w:r>
              <w:t>Directly relevant when m</w:t>
            </w:r>
            <w:r>
              <w:t>anaging trigeminal neuralgia in multiple sclerosis, where pain often behaves more aggressively and drug failure occurs earlier than in classical trigeminal neuralgia.</w:t>
            </w:r>
          </w:p>
          <w:p w:rsidR="00C11AA1" w:rsidRDefault="00F07A03">
            <w:pPr>
              <w:spacing w:after="60"/>
            </w:pPr>
            <w:r>
              <w:rPr>
                <w:b/>
                <w:color w:val="305496"/>
              </w:rPr>
              <w:t xml:space="preserve">Design: </w:t>
            </w:r>
            <w:r>
              <w:t>Systematic review and meta-analysis of 15 retrospective studies involving 278 pat</w:t>
            </w:r>
            <w:r>
              <w:t>ients with MS-related trigeminal neuralgia treated with radiofrequency rhizotomy.</w:t>
            </w:r>
          </w:p>
          <w:p w:rsidR="00C11AA1" w:rsidRDefault="00F07A03">
            <w:pPr>
              <w:spacing w:after="60"/>
            </w:pPr>
            <w:r>
              <w:rPr>
                <w:b/>
                <w:color w:val="305496"/>
              </w:rPr>
              <w:t xml:space="preserve">Main findings: </w:t>
            </w:r>
            <w:r>
              <w:t>The pooled initial pain-free rate was 78%, and the pooled initial adequate pain-relief rate was 96%. At the last follow-up, the pooled pain-free rate was 64% a</w:t>
            </w:r>
            <w:r>
              <w:t>nd the pooled adequate pain-relief rate was 86%. The pooled complication rate was 9%. The authors concluded that radiofrequency rhizotomy offers strong immediate relief with acceptable complication rates, although long-term results remain variable.</w:t>
            </w:r>
          </w:p>
          <w:p w:rsidR="00C11AA1" w:rsidRDefault="00F07A03">
            <w:pPr>
              <w:spacing w:after="60"/>
            </w:pPr>
            <w:r>
              <w:rPr>
                <w:b/>
                <w:color w:val="305496"/>
              </w:rPr>
              <w:t>Practic</w:t>
            </w:r>
            <w:r>
              <w:rPr>
                <w:b/>
                <w:color w:val="305496"/>
              </w:rPr>
              <w:t xml:space="preserve">al interpretation: </w:t>
            </w:r>
            <w:r>
              <w:t>For MS-related trigeminal neuralgia, radiofrequency rhizotomy remains a major practical option when symptoms are disabling and pharmacological therapy is insufficient. The strongest take-home point is the reliability of short-term benefi</w:t>
            </w:r>
            <w:r>
              <w:t>t; long-term durability is reasonable but less predictable.</w:t>
            </w:r>
          </w:p>
          <w:p w:rsidR="00C11AA1" w:rsidRDefault="00F07A03">
            <w:pPr>
              <w:spacing w:after="60"/>
            </w:pPr>
            <w:r>
              <w:rPr>
                <w:b/>
                <w:color w:val="305496"/>
              </w:rPr>
              <w:t xml:space="preserve">Important caveats: </w:t>
            </w:r>
            <w:r>
              <w:t>All included studies were retrospective, and several clinically relevant factors such as MS subtype, prior medication burden, and other confounders were inconsistently reported.</w:t>
            </w:r>
            <w:r>
              <w:t xml:space="preserve"> Long-term outcome variability should therefore not be overinterpreted as precise prognosis for an individual patient.</w:t>
            </w:r>
          </w:p>
        </w:tc>
        <w:tc>
          <w:tcPr>
            <w:tcW w:w="5040" w:type="dxa"/>
            <w:shd w:val="clear" w:color="auto" w:fill="EAF1FB"/>
            <w:tcMar>
              <w:top w:w="90" w:type="dxa"/>
              <w:left w:w="130" w:type="dxa"/>
              <w:bottom w:w="90" w:type="dxa"/>
              <w:right w:w="130" w:type="dxa"/>
            </w:tcMar>
          </w:tcPr>
          <w:p w:rsidR="00C11AA1" w:rsidRDefault="00F07A03">
            <w:r>
              <w:rPr>
                <w:b/>
                <w:color w:val="214682"/>
              </w:rPr>
              <w:t>Clinical application panel</w:t>
            </w:r>
          </w:p>
          <w:p w:rsidR="00C11AA1" w:rsidRDefault="00F07A03">
            <w:pPr>
              <w:pStyle w:val="ListBullet"/>
              <w:spacing w:after="40"/>
            </w:pPr>
            <w:r>
              <w:t>Use RFR when rapid pain control is needed in MS-TN and medical therapy is no longer adequate.</w:t>
            </w:r>
          </w:p>
          <w:p w:rsidR="00C11AA1" w:rsidRDefault="00F07A03">
            <w:pPr>
              <w:pStyle w:val="ListBullet"/>
              <w:spacing w:after="40"/>
            </w:pPr>
            <w:r>
              <w:t>Set expectations</w:t>
            </w:r>
            <w:r>
              <w:t xml:space="preserve"> carefully: immediate response is common, but repeat procedures or alternative strategies may still be needed later.</w:t>
            </w:r>
          </w:p>
          <w:p w:rsidR="00C11AA1" w:rsidRDefault="00F07A03">
            <w:pPr>
              <w:pStyle w:val="ListBullet"/>
              <w:spacing w:after="40"/>
            </w:pPr>
            <w:r>
              <w:t>Counsel about sensory complications, but the pooled overall complication burden was not prohibitive.</w:t>
            </w:r>
          </w:p>
          <w:p w:rsidR="00C11AA1" w:rsidRDefault="00F07A03">
            <w:pPr>
              <w:pStyle w:val="ListBullet"/>
              <w:spacing w:after="40"/>
            </w:pPr>
            <w:r>
              <w:t>This paper is useful for supporting RF</w:t>
            </w:r>
            <w:r>
              <w:t>R as a mainstream option rather than a last-resort anecdotal procedure.</w:t>
            </w:r>
          </w:p>
          <w:p w:rsidR="00C11AA1" w:rsidRDefault="00F07A03">
            <w:pPr>
              <w:pStyle w:val="ListBullet"/>
              <w:spacing w:after="40"/>
            </w:pPr>
            <w:r>
              <w:t>In MS-TN, outcome forecasting should remain individualized because the pooled long-term data are heterogeneous.</w:t>
            </w:r>
          </w:p>
        </w:tc>
      </w:tr>
    </w:tbl>
    <w:p w:rsidR="00C11AA1" w:rsidRDefault="00F07A03">
      <w:pPr>
        <w:spacing w:before="160" w:after="0"/>
      </w:pPr>
      <w:r>
        <w:rPr>
          <w:b/>
          <w:color w:val="214682"/>
        </w:rPr>
        <w:t xml:space="preserve">Overall clinical takeaway: </w:t>
      </w:r>
      <w:r>
        <w:t>these papers collectively support a pragmati</w:t>
      </w:r>
      <w:r>
        <w:t>c trigeminal neuralgia pathway: optimise first-line anticonvulsants by mechanism and tolerability, use intravenous lidocaine selectively for refractory rescue or bridging, and choose between rhizotomy and radiosurgery according to the need for speed versus</w:t>
      </w:r>
      <w:r>
        <w:t xml:space="preserve"> durability, with special attention to the distinct behaviour of multiple sclerosis-related disease.</w:t>
      </w:r>
    </w:p>
    <w:sectPr w:rsidR="00C11AA1"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AD5A5A"/>
    <w:rsid w:val="00B47730"/>
    <w:rsid w:val="00C11AA1"/>
    <w:rsid w:val="00CB0664"/>
    <w:rsid w:val="00F07A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D404FD"/>
  <w14:defaultImageDpi w14:val="300"/>
  <w15:docId w15:val="{33CA9F17-06DB-4491-AD83-ED93A8611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1468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5659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1468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67DE9-1B55-4253-97C6-E0C28BC0D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1543</Words>
  <Characters>8796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Saeedur Rahman</cp:lastModifiedBy>
  <cp:revision>3</cp:revision>
  <dcterms:created xsi:type="dcterms:W3CDTF">2013-12-23T23:15:00Z</dcterms:created>
  <dcterms:modified xsi:type="dcterms:W3CDTF">2026-03-24T15:03:00Z</dcterms:modified>
  <cp:category/>
</cp:coreProperties>
</file>