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368"/>
            <w:shd w:fill="EAF2F8"/>
            <w:tcMar>
              <w:top w:w="180" w:type="dxa"/>
              <w:start w:w="180" w:type="dxa"/>
              <w:bottom w:w="180" w:type="dxa"/>
              <w:end w:w="180" w:type="dxa"/>
            </w:tcMar>
          </w:tcPr>
          <w:p>
            <w:pPr>
              <w:jc w:val="center"/>
            </w:pPr>
            <w:r>
              <w:rPr>
                <w:b/>
                <w:color w:val="1F4E79"/>
                <w:sz w:val="36"/>
              </w:rPr>
              <w:t>Clinically Relevant Short Summaries of Selected Headache Papers</w:t>
            </w:r>
          </w:p>
          <w:p>
            <w:pPr>
              <w:jc w:val="center"/>
            </w:pPr>
            <w:r>
              <w:rPr>
                <w:i/>
                <w:sz w:val="21"/>
              </w:rPr>
              <w:t>Searchable briefing document with right-side clinical application panels</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10224"/>
      </w:tblGrid>
      <w:tr>
        <w:tc>
          <w:tcPr>
            <w:tcW w:type="dxa" w:w="10368"/>
            <w:shd w:fill="FFFFFF"/>
            <w:tcMar>
              <w:top w:w="90" w:type="dxa"/>
              <w:start w:w="120" w:type="dxa"/>
              <w:bottom w:w="90" w:type="dxa"/>
              <w:end w:w="120" w:type="dxa"/>
            </w:tcMar>
          </w:tcPr>
          <w:p>
            <w:pPr>
              <w:spacing w:after="0"/>
            </w:pPr>
            <w:r>
              <w:rPr>
                <w:b/>
              </w:rPr>
              <w:t xml:space="preserve">Purpose: </w:t>
            </w:r>
            <w:r>
              <w:t>rapid, clinically usable summaries rather than full critical appraisals.</w:t>
            </w:r>
          </w:p>
          <w:p>
            <w:r>
              <w:rPr>
                <w:b/>
              </w:rPr>
              <w:t xml:space="preserve">Navigation: </w:t>
            </w:r>
            <w:r>
              <w:t>each paper is a Heading 1 so it appears in the Word navigation pane / side panel.</w:t>
            </w:r>
          </w:p>
        </w:tc>
      </w:tr>
    </w:tbl>
    <w:p>
      <w:pPr>
        <w:pStyle w:val="Heading2"/>
        <w:spacing w:before="160" w:after="40"/>
      </w:pPr>
      <w:r>
        <w:rPr>
          <w:color w:val="1F4E79"/>
        </w:rPr>
        <w:t>Included papers</w:t>
      </w:r>
    </w:p>
    <w:p>
      <w:pPr>
        <w:pStyle w:val="ListBullet"/>
        <w:spacing w:after="40"/>
      </w:pPr>
      <w:r>
        <w:t>Smoking in primary headaches – systematic review and meta-analysis</w:t>
      </w:r>
    </w:p>
    <w:p>
      <w:pPr>
        <w:pStyle w:val="ListBullet"/>
        <w:spacing w:after="40"/>
      </w:pPr>
      <w:r>
        <w:t>Calcitonin gene-related peptide antagonists for cluster headache – systematic review and meta-analysis</w:t>
      </w:r>
    </w:p>
    <w:p>
      <w:pPr>
        <w:pStyle w:val="ListBullet"/>
        <w:spacing w:after="40"/>
      </w:pPr>
      <w:r>
        <w:t>Noninvasive vagus nerve stimulation for cluster headache and migraine – health technology assessment</w:t>
      </w:r>
    </w:p>
    <w:p>
      <w:pPr>
        <w:pStyle w:val="ListBullet"/>
        <w:spacing w:after="40"/>
      </w:pPr>
      <w:r>
        <w:t>Cluster headache diagnostic delay and its predictors – systematic review with meta-analysis</w:t>
      </w:r>
    </w:p>
    <w:p>
      <w:pPr>
        <w:pStyle w:val="Heading1"/>
        <w:spacing w:before="280" w:after="40"/>
      </w:pPr>
      <w:r>
        <w:rPr>
          <w:color w:val="1F4E79"/>
        </w:rPr>
        <w:t>1. Smoking in primary headaches</w:t>
      </w:r>
    </w:p>
    <w:p>
      <w:pPr>
        <w:spacing w:after="120"/>
      </w:pPr>
      <w:r>
        <w:rPr>
          <w:i/>
          <w:color w:val="2C3E50"/>
          <w:sz w:val="21"/>
        </w:rPr>
        <w:t>Błaszczyk B, Martynowicz H, Przegrałek J, et al. The Journal of Headache and Pain. 2025.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7056"/>
            <w:vAlign w:val="center"/>
            <w:tcMar>
              <w:top w:w="140" w:type="dxa"/>
              <w:start w:w="160" w:type="dxa"/>
              <w:bottom w:w="140" w:type="dxa"/>
              <w:end w:w="160" w:type="dxa"/>
            </w:tcMar>
            <w:shd w:fill="FFFFFF"/>
          </w:tcPr>
          <w:p>
            <w:pPr>
              <w:spacing w:after="60"/>
            </w:pPr>
            <w:r>
              <w:rPr>
                <w:b/>
                <w:color w:val="1F4E79"/>
              </w:rPr>
              <w:t>Why this paper matters</w:t>
            </w:r>
          </w:p>
          <w:p>
            <w:pPr>
              <w:spacing w:after="80"/>
            </w:pPr>
            <w:r>
              <w:t>This paper is useful for quick clinic counselling because smoking is commonly discussed by patients with migraine and cluster headache, yet the actual association is often oversimplified.</w:t>
            </w:r>
          </w:p>
          <w:p>
            <w:pPr>
              <w:spacing w:after="80"/>
            </w:pPr>
            <w:r>
              <w:rPr>
                <w:b/>
                <w:color w:val="2C3E50"/>
              </w:rPr>
              <w:t xml:space="preserve">What the paper asked: </w:t>
            </w:r>
            <w:r>
              <w:t>Whether cigarette smoking is associated with migraine, tension-type headache (TTH), migraine with aura, or cluster headache (CH), and how common smoking is across these headache groups.</w:t>
            </w:r>
          </w:p>
          <w:p>
            <w:pPr>
              <w:spacing w:after="80"/>
            </w:pPr>
            <w:r>
              <w:rPr>
                <w:b/>
                <w:color w:val="2C3E50"/>
              </w:rPr>
              <w:t xml:space="preserve">Study design: </w:t>
            </w:r>
            <w:r>
              <w:t>Systematic review and meta-analysis of 37 studies, with 22 judged low risk of bias. PubMed and Scopus were searched to February 2025. Association analyses were restricted to studies with suitable headache-free control groups.</w:t>
            </w:r>
          </w:p>
          <w:p>
            <w:pPr>
              <w:spacing w:before="40" w:after="40"/>
            </w:pPr>
            <w:r>
              <w:rPr>
                <w:b/>
                <w:color w:val="1F4E79"/>
              </w:rPr>
              <w:t>Key clinically relevant findings</w:t>
            </w:r>
          </w:p>
          <w:p>
            <w:pPr>
              <w:pStyle w:val="ListBullet"/>
              <w:spacing w:after="60"/>
            </w:pPr>
            <w:r>
              <w:rPr>
                <w:sz w:val="21"/>
              </w:rPr>
              <w:t>Smoking prevalence was 20% in migraine, 27% in migraine with aura, 19% in TTH, and 65% in cluster headache; overall prevalence across primary headache disorders was 32%.</w:t>
            </w:r>
          </w:p>
          <w:p>
            <w:pPr>
              <w:pStyle w:val="ListBullet"/>
              <w:spacing w:after="60"/>
            </w:pPr>
            <w:r>
              <w:rPr>
                <w:sz w:val="21"/>
              </w:rPr>
              <w:t>Current smoking was associated with a modestly increased odds of migraine versus people without headache (OR 1.29; 95% CI 1.02–1.62).</w:t>
            </w:r>
          </w:p>
          <w:p>
            <w:pPr>
              <w:pStyle w:val="ListBullet"/>
              <w:spacing w:after="60"/>
            </w:pPr>
            <w:r>
              <w:rPr>
                <w:sz w:val="21"/>
              </w:rPr>
              <w:t>Current smoking was associated with lower odds of TTH (OR 0.78; 95% CI 0.68–0.89), but this should not be interpreted as smoking being protective in practice.</w:t>
            </w:r>
          </w:p>
          <w:p>
            <w:pPr>
              <w:pStyle w:val="ListBullet"/>
              <w:spacing w:after="60"/>
            </w:pPr>
            <w:r>
              <w:rPr>
                <w:sz w:val="21"/>
              </w:rPr>
              <w:t>No clear association was found between current smoking and cluster headache despite the very high prevalence of smoking among CH cohorts, and no clear association was found between former smoking and migraine.</w:t>
            </w:r>
          </w:p>
          <w:p>
            <w:pPr>
              <w:pStyle w:val="ListBullet"/>
              <w:spacing w:after="60"/>
            </w:pPr>
            <w:r>
              <w:rPr>
                <w:sz w:val="21"/>
              </w:rPr>
              <w:t>The authors highlight a major limitation: many studies were suitable for prevalence estimates but not for valid association analyses because of control-group problems and inconsistent smoking definitions.</w:t>
            </w:r>
          </w:p>
          <w:p>
            <w:pPr>
              <w:spacing w:after="80"/>
            </w:pPr>
            <w:r>
              <w:rPr>
                <w:b/>
                <w:color w:val="2C3E50"/>
              </w:rPr>
              <w:t xml:space="preserve">Bottom line: </w:t>
            </w:r>
            <w:r>
              <w:t>Use this paper mainly for nuanced counselling rather than for causal claims. It supports advising smoking cessation for general health reasons and because migraine risk may be higher in current smokers, but it does not justify saying smoking causes or prevents any primary headache disorder with confidence.</w:t>
            </w:r>
          </w:p>
        </w:tc>
        <w:tc>
          <w:tcPr>
            <w:tcW w:type="dxa" w:w="3311"/>
            <w:vAlign w:val="center"/>
            <w:tcMar>
              <w:top w:w="140" w:type="dxa"/>
              <w:start w:w="160" w:type="dxa"/>
              <w:bottom w:w="140" w:type="dxa"/>
              <w:end w:w="160" w:type="dxa"/>
            </w:tcMar>
            <w:shd w:fill="F3F7FB"/>
          </w:tcPr>
          <w:p>
            <w:pPr>
              <w:spacing w:after="80"/>
            </w:pPr>
            <w:r>
              <w:rPr>
                <w:b/>
                <w:color w:val="1F4E79"/>
              </w:rPr>
              <w:t>Clinical application panel</w:t>
            </w:r>
          </w:p>
          <w:p>
            <w:pPr>
              <w:pStyle w:val="ListBullet"/>
              <w:spacing w:after="60"/>
            </w:pPr>
            <w:r>
              <w:rPr>
                <w:sz w:val="21"/>
              </w:rPr>
              <w:t>For migraine clinics: a reasonable counselling line is that current smoking is associated with migraine in pooled data, even if causality remains uncertain.</w:t>
            </w:r>
          </w:p>
          <w:p>
            <w:pPr>
              <w:pStyle w:val="ListBullet"/>
              <w:spacing w:after="60"/>
            </w:pPr>
            <w:r>
              <w:rPr>
                <w:sz w:val="21"/>
              </w:rPr>
              <w:t>For cluster headache: do not confuse high smoking prevalence with proof that smoking causes CH. The clinical message is association in the population, not confirmed direct causation.</w:t>
            </w:r>
          </w:p>
          <w:p>
            <w:pPr>
              <w:pStyle w:val="ListBullet"/>
              <w:spacing w:after="60"/>
            </w:pPr>
            <w:r>
              <w:rPr>
                <w:sz w:val="21"/>
              </w:rPr>
              <w:t>For TTH: avoid telling patients smoking is beneficial. The inverse association is likely vulnerable to residual confounding and should not guide behaviour.</w:t>
            </w:r>
          </w:p>
          <w:p>
            <w:pPr>
              <w:pStyle w:val="ListBullet"/>
              <w:spacing w:after="60"/>
            </w:pPr>
            <w:r>
              <w:rPr>
                <w:sz w:val="21"/>
              </w:rPr>
              <w:t>Useful in preventive discussions where lifestyle optimisation is being reviewed alongside sleep, caffeine, alcohol, and medication overuse.</w:t>
            </w:r>
          </w:p>
        </w:tc>
      </w:tr>
    </w:tbl>
    <w:p>
      <w:pPr>
        <w:pStyle w:val="Heading1"/>
        <w:spacing w:before="280" w:after="40"/>
      </w:pPr>
      <w:r>
        <w:rPr>
          <w:color w:val="1F4E79"/>
        </w:rPr>
        <w:t>2. Calcitonin gene-related peptide antagonists for cluster headache</w:t>
      </w:r>
    </w:p>
    <w:p>
      <w:pPr>
        <w:spacing w:after="120"/>
      </w:pPr>
      <w:r>
        <w:rPr>
          <w:i/>
          <w:color w:val="2C3E50"/>
          <w:sz w:val="21"/>
        </w:rPr>
        <w:t>Khanfar R, Radwan E, Hattab S. BMC Neurology. 2026 (article in press).</w:t>
      </w:r>
    </w:p>
    <w:p>
      <w:pPr>
        <w:spacing w:after="120"/>
      </w:pPr>
      <w:r>
        <w:rPr>
          <w:i/>
          <w:color w:val="6E6E6E"/>
          <w:sz w:val="19"/>
        </w:rPr>
        <w:t>Note: this PDF is marked as an unedited “article in press,” so details may change slightly before final publication.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7056"/>
            <w:vAlign w:val="center"/>
            <w:tcMar>
              <w:top w:w="140" w:type="dxa"/>
              <w:start w:w="160" w:type="dxa"/>
              <w:bottom w:w="140" w:type="dxa"/>
              <w:end w:w="160" w:type="dxa"/>
            </w:tcMar>
            <w:shd w:fill="FFFFFF"/>
          </w:tcPr>
          <w:p>
            <w:pPr>
              <w:spacing w:after="60"/>
            </w:pPr>
            <w:r>
              <w:rPr>
                <w:b/>
                <w:color w:val="1F4E79"/>
              </w:rPr>
              <w:t>Why this paper matters</w:t>
            </w:r>
          </w:p>
          <w:p>
            <w:pPr>
              <w:spacing w:after="80"/>
            </w:pPr>
            <w:r>
              <w:t>This paper matters because CGRP-targeted therapies are already familiar from migraine practice, but clinicians still need a concise evidence summary for their role in cluster headache prevention.</w:t>
            </w:r>
          </w:p>
          <w:p>
            <w:pPr>
              <w:spacing w:after="80"/>
            </w:pPr>
            <w:r>
              <w:rPr>
                <w:b/>
                <w:color w:val="2C3E50"/>
              </w:rPr>
              <w:t xml:space="preserve">What the paper asked: </w:t>
            </w:r>
            <w:r>
              <w:t>How effective and how safe CGRP antagonists are as preventive therapy for episodic and chronic cluster headache.</w:t>
            </w:r>
          </w:p>
          <w:p>
            <w:pPr>
              <w:spacing w:after="80"/>
            </w:pPr>
            <w:r>
              <w:rPr>
                <w:b/>
                <w:color w:val="2C3E50"/>
              </w:rPr>
              <w:t xml:space="preserve">Study design: </w:t>
            </w:r>
            <w:r>
              <w:t>Systematic review and meta-analysis including 4 randomized controlled trials and 2 single-arm trials in adults with episodic or chronic cluster headache. Outcomes included change in weekly attacks, responder rates, PGIC improvement, and adverse events.</w:t>
            </w:r>
          </w:p>
          <w:p>
            <w:pPr>
              <w:spacing w:before="40" w:after="40"/>
            </w:pPr>
            <w:r>
              <w:rPr>
                <w:b/>
                <w:color w:val="1F4E79"/>
              </w:rPr>
              <w:t>Key clinically relevant findings</w:t>
            </w:r>
          </w:p>
          <w:p>
            <w:pPr>
              <w:pStyle w:val="ListBullet"/>
              <w:spacing w:after="60"/>
            </w:pPr>
            <w:r>
              <w:rPr>
                <w:sz w:val="21"/>
              </w:rPr>
              <w:t>CGRP antagonists reduced weekly cluster attacks by a pooled mean of 7.23 attacks per week (95% CI 4.60–9.86 fewer).</w:t>
            </w:r>
          </w:p>
          <w:p>
            <w:pPr>
              <w:pStyle w:val="ListBullet"/>
              <w:spacing w:after="60"/>
            </w:pPr>
            <w:r>
              <w:rPr>
                <w:sz w:val="21"/>
              </w:rPr>
              <w:t>The pooled ≥50% responder rate was 46%, and the ≥30% responder rate was 59%.</w:t>
            </w:r>
          </w:p>
          <w:p>
            <w:pPr>
              <w:pStyle w:val="ListBullet"/>
              <w:spacing w:after="60"/>
            </w:pPr>
            <w:r>
              <w:rPr>
                <w:sz w:val="21"/>
              </w:rPr>
              <w:t>Benefits appeared larger in episodic cluster headache than in chronic cluster headache.</w:t>
            </w:r>
          </w:p>
          <w:p>
            <w:pPr>
              <w:pStyle w:val="ListBullet"/>
              <w:spacing w:after="60"/>
            </w:pPr>
            <w:r>
              <w:rPr>
                <w:sz w:val="21"/>
              </w:rPr>
              <w:t>At least one treatment-emergent adverse event occurred in about 60% of participants, but serious adverse events (4%) and discontinuations (3%) were uncommon.</w:t>
            </w:r>
          </w:p>
          <w:p>
            <w:pPr>
              <w:pStyle w:val="ListBullet"/>
              <w:spacing w:after="60"/>
            </w:pPr>
            <w:r>
              <w:rPr>
                <w:sz w:val="21"/>
              </w:rPr>
              <w:t>The review effectively reflects current evidence for monoclonal antibodies; no eligible gepant trials were available, so conclusions should not be extended to small-molecule CGRP antagonists.</w:t>
            </w:r>
          </w:p>
          <w:p>
            <w:pPr>
              <w:spacing w:after="80"/>
            </w:pPr>
            <w:r>
              <w:rPr>
                <w:b/>
                <w:color w:val="2C3E50"/>
              </w:rPr>
              <w:t xml:space="preserve">Bottom line: </w:t>
            </w:r>
            <w:r>
              <w:t>CGRP monoclonal antibodies look promising as preventive options for selected cluster headache patients, especially refractory or episodic cases, but the evidence remains supportive rather than definitive. They fit best as individualized preventive options rather than as universal first-line replacements for established agents.</w:t>
            </w:r>
          </w:p>
        </w:tc>
        <w:tc>
          <w:tcPr>
            <w:tcW w:type="dxa" w:w="3311"/>
            <w:vAlign w:val="center"/>
            <w:tcMar>
              <w:top w:w="140" w:type="dxa"/>
              <w:start w:w="160" w:type="dxa"/>
              <w:bottom w:w="140" w:type="dxa"/>
              <w:end w:w="160" w:type="dxa"/>
            </w:tcMar>
            <w:shd w:fill="F3F7FB"/>
          </w:tcPr>
          <w:p>
            <w:pPr>
              <w:spacing w:after="80"/>
            </w:pPr>
            <w:r>
              <w:rPr>
                <w:b/>
                <w:color w:val="1F4E79"/>
              </w:rPr>
              <w:t>Clinical application panel</w:t>
            </w:r>
          </w:p>
          <w:p>
            <w:pPr>
              <w:pStyle w:val="ListBullet"/>
              <w:spacing w:after="60"/>
            </w:pPr>
            <w:r>
              <w:rPr>
                <w:sz w:val="21"/>
              </w:rPr>
              <w:t>Most relevant use case: refractory CH or patients who cannot tolerate, fail, or are poorly controlled on standard preventives such as verapamil, lithium, or topiramate.</w:t>
            </w:r>
          </w:p>
          <w:p>
            <w:pPr>
              <w:pStyle w:val="ListBullet"/>
              <w:spacing w:after="60"/>
            </w:pPr>
            <w:r>
              <w:rPr>
                <w:sz w:val="21"/>
              </w:rPr>
              <w:t>Stronger signal in episodic CH means clinicians should be more cautious when extrapolating benefit to chronic CH.</w:t>
            </w:r>
          </w:p>
          <w:p>
            <w:pPr>
              <w:pStyle w:val="ListBullet"/>
              <w:spacing w:after="60"/>
            </w:pPr>
            <w:r>
              <w:rPr>
                <w:sz w:val="21"/>
              </w:rPr>
              <w:t>The tolerability profile is clinically attractive, especially where vasoconstrictive treatments are problematic or cardiovascular comorbidity complicates management.</w:t>
            </w:r>
          </w:p>
          <w:p>
            <w:pPr>
              <w:pStyle w:val="ListBullet"/>
              <w:spacing w:after="60"/>
            </w:pPr>
            <w:r>
              <w:rPr>
                <w:sz w:val="21"/>
              </w:rPr>
              <w:t>Good paper to support discussion of add-on preventive strategies, but still not a substitute for clinical judgement, attack diary review, and conventional treatment optimisation.</w:t>
            </w:r>
          </w:p>
        </w:tc>
      </w:tr>
    </w:tbl>
    <w:p>
      <w:pPr>
        <w:pStyle w:val="Heading1"/>
        <w:spacing w:before="280" w:after="40"/>
      </w:pPr>
      <w:r>
        <w:rPr>
          <w:color w:val="1F4E79"/>
        </w:rPr>
        <w:t>3. Noninvasive vagus nerve stimulation for cluster headache and migraine</w:t>
      </w:r>
    </w:p>
    <w:p>
      <w:pPr>
        <w:spacing w:after="120"/>
      </w:pPr>
      <w:r>
        <w:rPr>
          <w:i/>
          <w:color w:val="2C3E50"/>
          <w:sz w:val="21"/>
        </w:rPr>
        <w:t>Ontario Health Technology Assessment Series. May 2025.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7056"/>
            <w:vAlign w:val="center"/>
            <w:tcMar>
              <w:top w:w="140" w:type="dxa"/>
              <w:start w:w="160" w:type="dxa"/>
              <w:bottom w:w="140" w:type="dxa"/>
              <w:end w:w="160" w:type="dxa"/>
            </w:tcMar>
            <w:shd w:fill="FFFFFF"/>
          </w:tcPr>
          <w:p>
            <w:pPr>
              <w:spacing w:after="60"/>
            </w:pPr>
            <w:r>
              <w:rPr>
                <w:b/>
                <w:color w:val="1F4E79"/>
              </w:rPr>
              <w:t>Why this paper matters</w:t>
            </w:r>
          </w:p>
          <w:p>
            <w:pPr>
              <w:spacing w:after="80"/>
            </w:pPr>
            <w:r>
              <w:t>This is clinically valuable because it goes beyond efficacy alone and adds GRADE certainty, cost-effectiveness, budget impact, and patient-perspective data for noninvasive vagus nerve stimulation (nVNS).</w:t>
            </w:r>
          </w:p>
          <w:p>
            <w:pPr>
              <w:spacing w:after="80"/>
            </w:pPr>
            <w:r>
              <w:rPr>
                <w:b/>
                <w:color w:val="2C3E50"/>
              </w:rPr>
              <w:t xml:space="preserve">What the paper asked: </w:t>
            </w:r>
            <w:r>
              <w:t>Whether nVNS is effective, safe, and economically justifiable for acute treatment and prevention of cluster headache or migraine.</w:t>
            </w:r>
          </w:p>
          <w:p>
            <w:pPr>
              <w:spacing w:after="80"/>
            </w:pPr>
            <w:r>
              <w:rPr>
                <w:b/>
                <w:color w:val="2C3E50"/>
              </w:rPr>
              <w:t xml:space="preserve">Study design: </w:t>
            </w:r>
            <w:r>
              <w:t>Health technology assessment including 8 randomized trials (3 cluster headache, 5 migraine), economic analyses, budget impact modelling, and direct patient-perspective work.</w:t>
            </w:r>
          </w:p>
          <w:p>
            <w:pPr>
              <w:spacing w:before="40" w:after="40"/>
            </w:pPr>
            <w:r>
              <w:rPr>
                <w:b/>
                <w:color w:val="1F4E79"/>
              </w:rPr>
              <w:t>Key clinically relevant findings</w:t>
            </w:r>
          </w:p>
          <w:p>
            <w:pPr>
              <w:pStyle w:val="ListBullet"/>
              <w:spacing w:after="60"/>
            </w:pPr>
            <w:r>
              <w:rPr>
                <w:sz w:val="21"/>
              </w:rPr>
              <w:t>For acute cluster headache, nVNS did not show statistically significant improvement in overall response, pain freedom, attack duration, or acute medication use; evidence certainty ranged from low to very low.</w:t>
            </w:r>
          </w:p>
          <w:p>
            <w:pPr>
              <w:pStyle w:val="ListBullet"/>
              <w:spacing w:after="60"/>
            </w:pPr>
            <w:r>
              <w:rPr>
                <w:sz w:val="21"/>
              </w:rPr>
              <w:t>For preventive cluster headache, nVNS reduced weekly attack frequency, improved responder outcomes, reduced acute medication use, and improved quality of life, although certainty was only low to very low.</w:t>
            </w:r>
          </w:p>
          <w:p>
            <w:pPr>
              <w:pStyle w:val="ListBullet"/>
              <w:spacing w:after="60"/>
            </w:pPr>
            <w:r>
              <w:rPr>
                <w:sz w:val="21"/>
              </w:rPr>
              <w:t>For acute migraine, nVNS improved pain relief response, but effects on sustained response, pain freedom, acute medication use, and pain intensity were small or uncertain.</w:t>
            </w:r>
          </w:p>
          <w:p>
            <w:pPr>
              <w:pStyle w:val="ListBullet"/>
              <w:spacing w:after="60"/>
            </w:pPr>
            <w:r>
              <w:rPr>
                <w:sz w:val="21"/>
              </w:rPr>
              <w:t>For preventive migraine, nVNS may slightly reduce headache or migraine days, but a no-effect possibility remains; adverse-event evidence was very uncertain.</w:t>
            </w:r>
          </w:p>
          <w:p>
            <w:pPr>
              <w:pStyle w:val="ListBullet"/>
              <w:spacing w:after="60"/>
            </w:pPr>
            <w:r>
              <w:rPr>
                <w:sz w:val="21"/>
              </w:rPr>
              <w:t>Economically, nVNS plus standard care appeared likely cost-effective for prevention of cluster headache (ICER about $27,338 per QALY) but not for migraine prevention, where cost-effectiveness was poor and projected budget impact was very large.</w:t>
            </w:r>
          </w:p>
          <w:p>
            <w:pPr>
              <w:spacing w:after="80"/>
            </w:pPr>
            <w:r>
              <w:rPr>
                <w:b/>
                <w:color w:val="2C3E50"/>
              </w:rPr>
              <w:t xml:space="preserve">Bottom line: </w:t>
            </w:r>
            <w:r>
              <w:t>In practice, nVNS looks most attractive as a non-drug adjunct or alternative in preventive cluster headache rather than as a strong first-choice technology for migraine. The evidence is mixed by indication, so clinicians should match use to the specific headache population and local funding context.</w:t>
            </w:r>
          </w:p>
        </w:tc>
        <w:tc>
          <w:tcPr>
            <w:tcW w:type="dxa" w:w="3311"/>
            <w:vAlign w:val="center"/>
            <w:tcMar>
              <w:top w:w="140" w:type="dxa"/>
              <w:start w:w="160" w:type="dxa"/>
              <w:bottom w:w="140" w:type="dxa"/>
              <w:end w:w="160" w:type="dxa"/>
            </w:tcMar>
            <w:shd w:fill="F3F7FB"/>
          </w:tcPr>
          <w:p>
            <w:pPr>
              <w:spacing w:after="80"/>
            </w:pPr>
            <w:r>
              <w:rPr>
                <w:b/>
                <w:color w:val="1F4E79"/>
              </w:rPr>
              <w:t>Clinical application panel</w:t>
            </w:r>
          </w:p>
          <w:p>
            <w:pPr>
              <w:pStyle w:val="ListBullet"/>
              <w:spacing w:after="60"/>
            </w:pPr>
            <w:r>
              <w:rPr>
                <w:sz w:val="21"/>
              </w:rPr>
              <w:t>Best fit: patients with cluster headache who prefer a nonpharmacologic option, cannot tolerate standard therapy, or need an adjunctive preventive strategy.</w:t>
            </w:r>
          </w:p>
          <w:p>
            <w:pPr>
              <w:pStyle w:val="ListBullet"/>
              <w:spacing w:after="60"/>
            </w:pPr>
            <w:r>
              <w:rPr>
                <w:sz w:val="21"/>
              </w:rPr>
              <w:t>For migraine, this paper supports caution: nVNS may help some patients, but evidence strength and cost-effectiveness are weaker than for cluster prevention.</w:t>
            </w:r>
          </w:p>
          <w:p>
            <w:pPr>
              <w:pStyle w:val="ListBullet"/>
              <w:spacing w:after="60"/>
            </w:pPr>
            <w:r>
              <w:rPr>
                <w:sz w:val="21"/>
              </w:rPr>
              <w:t>Useful in shared decision-making because the report includes patient preference data showing strong interest in a noninvasive option even when efficacy is not dramatic.</w:t>
            </w:r>
          </w:p>
          <w:p>
            <w:pPr>
              <w:pStyle w:val="ListBullet"/>
              <w:spacing w:after="60"/>
            </w:pPr>
            <w:r>
              <w:rPr>
                <w:sz w:val="21"/>
              </w:rPr>
              <w:t>Important service-design point: population-level funding decisions for migraine are heavily constrained by cost and budget impact, even if individual-patient acceptability is good.</w:t>
            </w:r>
          </w:p>
        </w:tc>
      </w:tr>
    </w:tbl>
    <w:p>
      <w:pPr>
        <w:pStyle w:val="Heading1"/>
        <w:spacing w:before="280" w:after="40"/>
      </w:pPr>
      <w:r>
        <w:rPr>
          <w:color w:val="1F4E79"/>
        </w:rPr>
        <w:t>4. Cluster headache diagnostic delay and its predictors</w:t>
      </w:r>
    </w:p>
    <w:p>
      <w:pPr>
        <w:spacing w:after="120"/>
      </w:pPr>
      <w:r>
        <w:rPr>
          <w:i/>
          <w:color w:val="2C3E50"/>
          <w:sz w:val="21"/>
        </w:rPr>
        <w:t>Van Obberghen EK, Fabre R, Lanteri-Minet M. The Journal of Headache and Pain. 2025.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7056"/>
            <w:vAlign w:val="center"/>
            <w:tcMar>
              <w:top w:w="140" w:type="dxa"/>
              <w:start w:w="160" w:type="dxa"/>
              <w:bottom w:w="140" w:type="dxa"/>
              <w:end w:w="160" w:type="dxa"/>
            </w:tcMar>
            <w:shd w:fill="FFFFFF"/>
          </w:tcPr>
          <w:p>
            <w:pPr>
              <w:spacing w:after="60"/>
            </w:pPr>
            <w:r>
              <w:rPr>
                <w:b/>
                <w:color w:val="1F4E79"/>
              </w:rPr>
              <w:t>Why this paper matters</w:t>
            </w:r>
          </w:p>
          <w:p>
            <w:pPr>
              <w:spacing w:after="80"/>
            </w:pPr>
            <w:r>
              <w:t>This paper is immediately relevant to frontline neurology, general practice, emergency care, and ophthalmology because delayed recognition of cluster headache remains a major practical problem despite the syndrome’s classic phenotype.</w:t>
            </w:r>
          </w:p>
          <w:p>
            <w:pPr>
              <w:spacing w:after="80"/>
            </w:pPr>
            <w:r>
              <w:rPr>
                <w:b/>
                <w:color w:val="2C3E50"/>
              </w:rPr>
              <w:t xml:space="preserve">What the paper asked: </w:t>
            </w:r>
            <w:r>
              <w:t>How long patients with cluster headache typically wait for diagnosis, and which clinical features are associated with shorter or longer delay.</w:t>
            </w:r>
          </w:p>
          <w:p>
            <w:pPr>
              <w:spacing w:after="80"/>
            </w:pPr>
            <w:r>
              <w:rPr>
                <w:b/>
                <w:color w:val="2C3E50"/>
              </w:rPr>
              <w:t xml:space="preserve">Study design: </w:t>
            </w:r>
            <w:r>
              <w:t>Systematic review of 22 studies with meta-analysis of 11 studies, covering 8,654 patients. The review examined both the average diagnostic delay and clinical predictors of delay.</w:t>
            </w:r>
          </w:p>
          <w:p>
            <w:pPr>
              <w:spacing w:before="40" w:after="40"/>
            </w:pPr>
            <w:r>
              <w:rPr>
                <w:b/>
                <w:color w:val="1F4E79"/>
              </w:rPr>
              <w:t>Key clinically relevant findings</w:t>
            </w:r>
          </w:p>
          <w:p>
            <w:pPr>
              <w:pStyle w:val="ListBullet"/>
              <w:spacing w:after="60"/>
            </w:pPr>
            <w:r>
              <w:rPr>
                <w:sz w:val="21"/>
              </w:rPr>
              <w:t>The pooled mean diagnostic delay for cluster headache was 10.43 years (95% CI 9.09–11.77), confirming a major unmet need in routine care.</w:t>
            </w:r>
          </w:p>
          <w:p>
            <w:pPr>
              <w:pStyle w:val="ListBullet"/>
              <w:spacing w:after="60"/>
            </w:pPr>
            <w:r>
              <w:rPr>
                <w:sz w:val="21"/>
              </w:rPr>
              <w:t>Diagnostic delay has improved over time, with progressive reductions since the 1960s and continued improvement across more recent decades.</w:t>
            </w:r>
          </w:p>
          <w:p>
            <w:pPr>
              <w:pStyle w:val="ListBullet"/>
              <w:spacing w:after="60"/>
            </w:pPr>
            <w:r>
              <w:rPr>
                <w:sz w:val="21"/>
              </w:rPr>
              <w:t>Autonomic features were associated with shorter delay, which is clinically plausible because they make the TAC phenotype more recognizable.</w:t>
            </w:r>
          </w:p>
          <w:p>
            <w:pPr>
              <w:pStyle w:val="ListBullet"/>
              <w:spacing w:after="60"/>
            </w:pPr>
            <w:r>
              <w:rPr>
                <w:sz w:val="21"/>
              </w:rPr>
              <w:t>Lower age at onset, alternating attack side, and nocturnal headaches were associated with longer delay.</w:t>
            </w:r>
          </w:p>
          <w:p>
            <w:pPr>
              <w:pStyle w:val="ListBullet"/>
              <w:spacing w:after="60"/>
            </w:pPr>
            <w:r>
              <w:rPr>
                <w:sz w:val="21"/>
              </w:rPr>
              <w:t>The review suggests that migraine-like or atypical-appearing presentations can still confuse diagnosis, reinforcing the need for phenotype-based questioning rather than relying on patient labels alone.</w:t>
            </w:r>
          </w:p>
          <w:p>
            <w:pPr>
              <w:spacing w:after="80"/>
            </w:pPr>
            <w:r>
              <w:rPr>
                <w:b/>
                <w:color w:val="2C3E50"/>
              </w:rPr>
              <w:t xml:space="preserve">Bottom line: </w:t>
            </w:r>
            <w:r>
              <w:t>The main practical value of this paper is diagnostic vigilance. It reminds clinicians to actively screen for cluster features whenever a patient reports strictly unilateral recurrent attacks, nocturnal attacks, agitation/restlessness, or cranial autonomic symptoms, because delayed diagnosis remains common even now.</w:t>
            </w:r>
          </w:p>
        </w:tc>
        <w:tc>
          <w:tcPr>
            <w:tcW w:type="dxa" w:w="3311"/>
            <w:vAlign w:val="center"/>
            <w:tcMar>
              <w:top w:w="140" w:type="dxa"/>
              <w:start w:w="160" w:type="dxa"/>
              <w:bottom w:w="140" w:type="dxa"/>
              <w:end w:w="160" w:type="dxa"/>
            </w:tcMar>
            <w:shd w:fill="F3F7FB"/>
          </w:tcPr>
          <w:p>
            <w:pPr>
              <w:spacing w:after="80"/>
            </w:pPr>
            <w:r>
              <w:rPr>
                <w:b/>
                <w:color w:val="1F4E79"/>
              </w:rPr>
              <w:t>Clinical application panel</w:t>
            </w:r>
          </w:p>
          <w:p>
            <w:pPr>
              <w:pStyle w:val="ListBullet"/>
              <w:spacing w:after="60"/>
            </w:pPr>
            <w:r>
              <w:rPr>
                <w:sz w:val="21"/>
              </w:rPr>
              <w:t>In first-contact settings, ask directly about tearing, nasal blockage, ptosis, agitation, attack duration, and attack frequency rather than relying on the word “migraine.”</w:t>
            </w:r>
          </w:p>
          <w:p>
            <w:pPr>
              <w:pStyle w:val="ListBullet"/>
              <w:spacing w:after="60"/>
            </w:pPr>
            <w:r>
              <w:rPr>
                <w:sz w:val="21"/>
              </w:rPr>
              <w:t>Alternating side and younger onset do not rule out CH; in fact, this paper suggests they may contribute to delay.</w:t>
            </w:r>
          </w:p>
          <w:p>
            <w:pPr>
              <w:pStyle w:val="ListBullet"/>
              <w:spacing w:after="60"/>
            </w:pPr>
            <w:r>
              <w:rPr>
                <w:sz w:val="21"/>
              </w:rPr>
              <w:t>Nocturnal attacks should increase suspicion rather than reassure against CH.</w:t>
            </w:r>
          </w:p>
          <w:p>
            <w:pPr>
              <w:pStyle w:val="ListBullet"/>
              <w:spacing w:after="60"/>
            </w:pPr>
            <w:r>
              <w:rPr>
                <w:sz w:val="21"/>
              </w:rPr>
              <w:t>Useful for education of non-headache specialists because reducing diagnostic delay is likely one of the highest-yield quality improvements in CH care.</w:t>
            </w:r>
          </w:p>
        </w:tc>
      </w:tr>
    </w:tbl>
    <w:p>
      <w:pPr>
        <w:pStyle w:val="Heading2"/>
        <w:spacing w:before="200" w:after="40"/>
      </w:pPr>
      <w:r>
        <w:rPr>
          <w:color w:val="1F4E79"/>
        </w:rPr>
        <w:t>How to use this document in clinic</w:t>
      </w:r>
    </w:p>
    <w:p>
      <w:pPr>
        <w:pStyle w:val="ListBullet"/>
        <w:spacing w:after="40"/>
      </w:pPr>
      <w:r>
        <w:t>Use the navigation pane to jump directly to a paper by topic or intervention.</w:t>
      </w:r>
    </w:p>
    <w:p>
      <w:pPr>
        <w:pStyle w:val="ListBullet"/>
        <w:spacing w:after="40"/>
      </w:pPr>
      <w:r>
        <w:t>Search by terms such as smoking, CGRP, nVNS, or diagnostic delay to locate the relevant summary rapidly.</w:t>
      </w:r>
    </w:p>
    <w:p>
      <w:pPr>
        <w:pStyle w:val="ListBullet"/>
        <w:spacing w:after="40"/>
      </w:pPr>
      <w:r>
        <w:t>These summaries are designed for day-to-day clinical use; for high-stakes decisions, confirm details against the original paper and current local guidance.</w:t>
      </w:r>
    </w:p>
    <w:sectPr w:rsidR="00FC693F" w:rsidRPr="0006063C" w:rsidSect="00034616">
      <w:footerReference w:type="default" r:id="rId9"/>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