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280"/>
        <w:jc w:val="right"/>
      </w:pPr>
      <w:r>
        <w:drawing>
          <wp:inline>
            <wp:extent cx="566928" cy="566928"/>
            <wp:docPr id="1" name="Picture 1" descr="نشان اپ مدیریت ثروت شخصی توازن"/>
            <wp:cNvGraphicFramePr>
              <a:graphicFrameLocks noChangeAspect="1"/>
            </wp:cNvGraphicFramePr>
            <a:graphic>
              <a:graphicData uri="http://schemas.openxmlformats.org/drawingml/2006/picture">
                <pic:pic>
                  <pic:nvPicPr>
                    <pic:cNvPr id="0" name="icon-512.png"/>
                    <pic:cNvPicPr/>
                  </pic:nvPicPr>
                  <pic:blipFill>
                    <a:blip r:embed="rId7"/>
                    <a:stretch>
                      <a:fillRect/>
                    </a:stretch>
                  </pic:blipFill>
                  <pic:spPr>
                    <a:xfrm>
                      <a:off x="0" y="0"/>
                      <a:ext cx="566928" cy="566928"/>
                    </a:xfrm>
                    <a:prstGeom prst="rect"/>
                  </pic:spPr>
                </pic:pic>
              </a:graphicData>
            </a:graphic>
          </wp:inline>
        </w:drawing>
      </w:r>
    </w:p>
    <w:p>
      <w:pPr>
        <w:spacing w:before="0" w:after="160" w:line="276" w:lineRule="auto"/>
        <w:jc w:val="right"/>
        <w:bidi w:val="1"/>
      </w:pPr>
      <w:r>
        <w:rPr>
          <w:rFonts w:ascii="Arial" w:hAnsi="Arial" w:cs="Arial" w:eastAsia="Arial"/>
          <w:b/>
          <w:color w:val="4F46E5"/>
          <w:sz w:val="20"/>
        </w:rPr>
        <w:t>ممیزی طراحی و معماری سند</w:t>
      </w:r>
    </w:p>
    <w:p>
      <w:pPr>
        <w:pStyle w:val="Title"/>
        <w:spacing w:before="0" w:after="200" w:line="252" w:lineRule="auto"/>
        <w:jc w:val="right"/>
        <w:bidi w:val="1"/>
      </w:pPr>
      <w:r>
        <w:rPr>
          <w:rFonts w:ascii="Arial" w:hAnsi="Arial" w:cs="Arial" w:eastAsia="Arial"/>
          <w:b/>
          <w:color w:val="101218"/>
          <w:sz w:val="60"/>
        </w:rPr>
        <w:t>قالب طراحی سیستم برای اپ مالی</w:t>
      </w:r>
    </w:p>
    <w:p>
      <w:pPr>
        <w:spacing w:before="0" w:after="680" w:line="300" w:lineRule="auto"/>
        <w:jc w:val="right"/>
        <w:bidi w:val="1"/>
      </w:pPr>
      <w:r>
        <w:rPr>
          <w:rFonts w:ascii="Arial" w:hAnsi="Arial" w:cs="Arial" w:eastAsia="Arial"/>
          <w:b w:val="0"/>
          <w:color w:val="526173"/>
          <w:sz w:val="26"/>
        </w:rPr>
        <w:t>ارزیابی نسخه موجود و پیشنهاد نسخه حرفه‌ای برای توازن</w:t>
      </w:r>
    </w:p>
    <w:p>
      <w:pPr>
        <w:spacing w:after="160"/>
        <w:jc w:val="right"/>
        <w:pBdr>
          <w:bottom w:val="single" w:sz="18" w:space="1" w:color="4F46E5"/>
        </w:pBdr>
      </w:pPr>
    </w:p>
    <w:p>
      <w:pPr>
        <w:spacing w:before="0" w:after="520" w:line="324" w:lineRule="auto"/>
        <w:jc w:val="right"/>
        <w:bidi w:val="1"/>
      </w:pPr>
      <w:r>
        <w:rPr>
          <w:rFonts w:ascii="Arial" w:hAnsi="Arial" w:cs="Arial" w:eastAsia="Arial"/>
          <w:b/>
          <w:color w:val="101218"/>
          <w:sz w:val="22"/>
        </w:rPr>
        <w:t xml:space="preserve">جمع‌بندی  </w:t>
      </w:r>
      <w:r>
        <w:rPr>
          <w:rFonts w:ascii="Arial" w:hAnsi="Arial" w:cs="Arial" w:eastAsia="Arial"/>
          <w:b w:val="0"/>
          <w:color w:val="526173"/>
          <w:sz w:val="22"/>
        </w:rPr>
        <w:t>قالب فعلی از نظر ساختار مهندسی قابل اتکاست، اما برای یک اپ مالی فارسی به بازطراحی هویت، معماری اطلاعات و کنترل‌های مالی نیاز دارد. پیشنهاد این گزارش، حفظ اسکلت RFC و افزودن لایه‌های اعتماد مالی، حسابرسی‌پذیری و برند محصول است.</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024"/>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مشخصه</w:t>
            </w:r>
          </w:p>
        </w:tc>
        <w:tc>
          <w:tcPr>
            <w:tcW w:type="dxa" w:w="6912"/>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مقدار</w:t>
            </w:r>
          </w:p>
        </w:tc>
      </w:tr>
      <w:tr>
        <w:tc>
          <w:tcPr>
            <w:tcW w:type="dxa" w:w="3024"/>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EEF0FF"/>
          </w:tcPr>
          <w:p>
            <w:pPr>
              <w:spacing w:before="0" w:after="0" w:line="276" w:lineRule="auto"/>
              <w:jc w:val="right"/>
              <w:bidi w:val="1"/>
            </w:pPr>
            <w:r>
              <w:rPr>
                <w:rFonts w:ascii="Arial" w:hAnsi="Arial" w:cs="Arial" w:eastAsia="Arial"/>
                <w:b/>
                <w:color w:val="4F46E5"/>
                <w:sz w:val="19"/>
              </w:rPr>
              <w:t>وضعیت</w:t>
            </w:r>
          </w:p>
        </w:tc>
        <w:tc>
          <w:tcPr>
            <w:tcW w:type="dxa" w:w="6912"/>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FFFFFF"/>
          </w:tcPr>
          <w:p>
            <w:pPr>
              <w:spacing w:before="0" w:after="0" w:line="276" w:lineRule="auto"/>
              <w:jc w:val="right"/>
              <w:bidi w:val="1"/>
            </w:pPr>
            <w:r>
              <w:rPr>
                <w:rFonts w:ascii="Arial" w:hAnsi="Arial" w:cs="Arial" w:eastAsia="Arial"/>
                <w:b w:val="0"/>
                <w:color w:val="101218"/>
                <w:sz w:val="19"/>
              </w:rPr>
              <w:t>پیشنهاد آماده تصمیم</w:t>
            </w:r>
          </w:p>
        </w:tc>
      </w:tr>
      <w:tr>
        <w:tc>
          <w:tcPr>
            <w:tcW w:type="dxa" w:w="3024"/>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EEF0FF"/>
          </w:tcPr>
          <w:p>
            <w:pPr>
              <w:spacing w:before="0" w:after="0" w:line="276" w:lineRule="auto"/>
              <w:jc w:val="right"/>
              <w:bidi w:val="1"/>
            </w:pPr>
            <w:r>
              <w:rPr>
                <w:rFonts w:ascii="Arial" w:hAnsi="Arial" w:cs="Arial" w:eastAsia="Arial"/>
                <w:b/>
                <w:color w:val="4F46E5"/>
                <w:sz w:val="19"/>
              </w:rPr>
              <w:t>دامنه</w:t>
            </w:r>
          </w:p>
        </w:tc>
        <w:tc>
          <w:tcPr>
            <w:tcW w:type="dxa" w:w="6912"/>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FFFFFF"/>
          </w:tcPr>
          <w:p>
            <w:pPr>
              <w:spacing w:before="0" w:after="0" w:line="276" w:lineRule="auto"/>
              <w:jc w:val="right"/>
              <w:bidi w:val="1"/>
            </w:pPr>
            <w:r>
              <w:rPr>
                <w:rFonts w:ascii="Arial" w:hAnsi="Arial" w:cs="Arial" w:eastAsia="Arial"/>
                <w:b w:val="0"/>
                <w:color w:val="101218"/>
                <w:sz w:val="19"/>
              </w:rPr>
              <w:t>قالب System Design و تناسب آن با سامانه مدیریت ثروت شخصی</w:t>
            </w:r>
          </w:p>
        </w:tc>
      </w:tr>
      <w:tr>
        <w:tc>
          <w:tcPr>
            <w:tcW w:type="dxa" w:w="3024"/>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EEF0FF"/>
          </w:tcPr>
          <w:p>
            <w:pPr>
              <w:spacing w:before="0" w:after="0" w:line="276" w:lineRule="auto"/>
              <w:jc w:val="right"/>
              <w:bidi w:val="1"/>
            </w:pPr>
            <w:r>
              <w:rPr>
                <w:rFonts w:ascii="Arial" w:hAnsi="Arial" w:cs="Arial" w:eastAsia="Arial"/>
                <w:b/>
                <w:color w:val="4F46E5"/>
                <w:sz w:val="19"/>
              </w:rPr>
              <w:t>مبنای ارزیابی</w:t>
            </w:r>
          </w:p>
        </w:tc>
        <w:tc>
          <w:tcPr>
            <w:tcW w:type="dxa" w:w="6912"/>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FFFFFF"/>
          </w:tcPr>
          <w:p>
            <w:pPr>
              <w:spacing w:before="0" w:after="0" w:line="276" w:lineRule="auto"/>
              <w:jc w:val="right"/>
              <w:bidi w:val="1"/>
            </w:pPr>
            <w:r>
              <w:rPr>
                <w:rFonts w:ascii="Arial" w:hAnsi="Arial" w:cs="Arial" w:eastAsia="Arial"/>
                <w:b w:val="0"/>
                <w:color w:val="101218"/>
                <w:sz w:val="19"/>
              </w:rPr>
              <w:t>فایل مرجع، رابط زنده محلی، اسناد طراحی و معماری مخزن</w:t>
            </w:r>
          </w:p>
        </w:tc>
      </w:tr>
    </w:tbl>
    <w:p>
      <w:r>
        <w:br w:type="page"/>
      </w:r>
    </w:p>
    <w:p>
      <w:pPr>
        <w:spacing w:before="100" w:after="40" w:line="276" w:lineRule="auto"/>
        <w:jc w:val="right"/>
        <w:bidi w:val="1"/>
        <w:keepNext w:val="1"/>
      </w:pPr>
      <w:r>
        <w:rPr>
          <w:rFonts w:ascii="Arial" w:hAnsi="Arial" w:cs="Arial" w:eastAsia="Arial"/>
          <w:b/>
          <w:color w:val="4F46E5"/>
          <w:sz w:val="17"/>
        </w:rPr>
        <w:t>خلاصه مدیریتی</w:t>
      </w:r>
    </w:p>
    <w:p>
      <w:pPr>
        <w:pStyle w:val="Heading1"/>
        <w:spacing w:before="140" w:after="120" w:line="276" w:lineRule="auto"/>
        <w:jc w:val="right"/>
        <w:bidi w:val="1"/>
        <w:keepNext w:val="1"/>
      </w:pPr>
      <w:r>
        <w:rPr>
          <w:rFonts w:ascii="Arial" w:hAnsi="Arial" w:cs="Arial" w:eastAsia="Arial"/>
          <w:b/>
          <w:color w:val="101218"/>
          <w:sz w:val="40"/>
        </w:rPr>
        <w:t>نتیجه ممیزی</w:t>
      </w:r>
    </w:p>
    <w:p>
      <w:pPr>
        <w:spacing w:before="0" w:after="140" w:line="298" w:lineRule="auto"/>
        <w:jc w:val="right"/>
        <w:bidi w:val="1"/>
      </w:pPr>
      <w:r>
        <w:rPr>
          <w:rFonts w:ascii="Arial" w:hAnsi="Arial" w:cs="Arial" w:eastAsia="Arial"/>
          <w:b w:val="0"/>
          <w:color w:val="101218"/>
          <w:sz w:val="21"/>
        </w:rPr>
        <w:t>قالب موجود ۶۸ از ۱۰۰ امتیاز می‌گیرد. ساختار پوشش موضوعات فنی خوب است و الگوی جدول‌ها منسجم است، اما کیفیت برند، دسترس‌پذیری، معماری اطلاعات مالی و قابلیت استفاده در تصمیم‌گیری اجرایی فاصله محسوسی با یک سند ممتاز دارد.</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232"/>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محور</w:t>
            </w:r>
          </w:p>
        </w:tc>
        <w:tc>
          <w:tcPr>
            <w:tcW w:type="dxa" w:w="1080"/>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امتیاز</w:t>
            </w:r>
          </w:p>
        </w:tc>
        <w:tc>
          <w:tcPr>
            <w:tcW w:type="dxa" w:w="1944"/>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وضعیت</w:t>
            </w:r>
          </w:p>
        </w:tc>
        <w:tc>
          <w:tcPr>
            <w:tcW w:type="dxa" w:w="4968"/>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شاهد اصلی</w:t>
            </w:r>
          </w:p>
        </w:tc>
      </w:tr>
      <w:tr>
        <w:tc>
          <w:tcPr>
            <w:tcW w:type="dxa" w:w="2556"/>
            <w:shd w:fill="FFFFFF"/>
          </w:tcPr>
          <w:p>
            <w:pPr>
              <w:spacing w:before="0" w:after="0" w:line="276" w:lineRule="auto"/>
              <w:jc w:val="right"/>
              <w:bidi w:val="1"/>
            </w:pPr>
            <w:r>
              <w:rPr>
                <w:rFonts w:ascii="Arial" w:hAnsi="Arial" w:cs="Arial" w:eastAsia="Arial"/>
                <w:b w:val="0"/>
                <w:color w:val="101218"/>
                <w:sz w:val="17"/>
              </w:rPr>
              <w:t>ساختار مهندسی</w:t>
            </w:r>
          </w:p>
        </w:tc>
        <w:tc>
          <w:tcPr>
            <w:tcW w:type="dxa" w:w="2556"/>
            <w:shd w:fill="FFFFFF"/>
          </w:tcPr>
          <w:p>
            <w:pPr>
              <w:spacing w:before="0" w:after="0" w:line="276" w:lineRule="auto"/>
              <w:jc w:val="right"/>
              <w:bidi w:val="1"/>
            </w:pPr>
            <w:r>
              <w:rPr>
                <w:rFonts w:ascii="Arial" w:hAnsi="Arial" w:cs="Arial" w:eastAsia="Arial"/>
                <w:b w:val="0"/>
                <w:color w:val="101218"/>
                <w:sz w:val="17"/>
              </w:rPr>
              <w:t>۸۴</w:t>
            </w:r>
          </w:p>
        </w:tc>
        <w:tc>
          <w:tcPr>
            <w:tcW w:type="dxa" w:w="2556"/>
            <w:shd w:fill="FFFFFF"/>
          </w:tcPr>
          <w:p>
            <w:pPr>
              <w:spacing w:before="0" w:after="0" w:line="276" w:lineRule="auto"/>
              <w:jc w:val="right"/>
              <w:bidi w:val="1"/>
            </w:pPr>
            <w:r>
              <w:rPr>
                <w:rFonts w:ascii="Arial" w:hAnsi="Arial" w:cs="Arial" w:eastAsia="Arial"/>
                <w:b w:val="0"/>
                <w:color w:val="101218"/>
                <w:sz w:val="17"/>
              </w:rPr>
              <w:t>قوی</w:t>
            </w:r>
          </w:p>
        </w:tc>
        <w:tc>
          <w:tcPr>
            <w:tcW w:type="dxa" w:w="2556"/>
            <w:shd w:fill="FFFFFF"/>
          </w:tcPr>
          <w:p>
            <w:pPr>
              <w:spacing w:before="0" w:after="0" w:line="276" w:lineRule="auto"/>
              <w:jc w:val="right"/>
              <w:bidi w:val="1"/>
            </w:pPr>
            <w:r>
              <w:rPr>
                <w:rFonts w:ascii="Arial" w:hAnsi="Arial" w:cs="Arial" w:eastAsia="Arial"/>
                <w:b w:val="0"/>
                <w:color w:val="101218"/>
                <w:sz w:val="17"/>
              </w:rPr>
              <w:t>پوشش معماری، قرارداد داده، خطا و عملیات</w:t>
            </w:r>
          </w:p>
        </w:tc>
      </w:tr>
      <w:tr>
        <w:tc>
          <w:tcPr>
            <w:tcW w:type="dxa" w:w="2556"/>
            <w:shd w:fill="F5F6F8"/>
          </w:tcPr>
          <w:p>
            <w:pPr>
              <w:spacing w:before="0" w:after="0" w:line="276" w:lineRule="auto"/>
              <w:jc w:val="right"/>
              <w:bidi w:val="1"/>
            </w:pPr>
            <w:r>
              <w:rPr>
                <w:rFonts w:ascii="Arial" w:hAnsi="Arial" w:cs="Arial" w:eastAsia="Arial"/>
                <w:b w:val="0"/>
                <w:color w:val="101218"/>
                <w:sz w:val="17"/>
              </w:rPr>
              <w:t>هویت و برند</w:t>
            </w:r>
          </w:p>
        </w:tc>
        <w:tc>
          <w:tcPr>
            <w:tcW w:type="dxa" w:w="2556"/>
            <w:shd w:fill="F5F6F8"/>
          </w:tcPr>
          <w:p>
            <w:pPr>
              <w:spacing w:before="0" w:after="0" w:line="276" w:lineRule="auto"/>
              <w:jc w:val="right"/>
              <w:bidi w:val="1"/>
            </w:pPr>
            <w:r>
              <w:rPr>
                <w:rFonts w:ascii="Arial" w:hAnsi="Arial" w:cs="Arial" w:eastAsia="Arial"/>
                <w:b w:val="0"/>
                <w:color w:val="101218"/>
                <w:sz w:val="17"/>
              </w:rPr>
              <w:t>۴۲</w:t>
            </w:r>
          </w:p>
        </w:tc>
        <w:tc>
          <w:tcPr>
            <w:tcW w:type="dxa" w:w="2556"/>
            <w:shd w:fill="F5F6F8"/>
          </w:tcPr>
          <w:p>
            <w:pPr>
              <w:spacing w:before="0" w:after="0" w:line="276" w:lineRule="auto"/>
              <w:jc w:val="right"/>
              <w:bidi w:val="1"/>
            </w:pPr>
            <w:r>
              <w:rPr>
                <w:rFonts w:ascii="Arial" w:hAnsi="Arial" w:cs="Arial" w:eastAsia="Arial"/>
                <w:b w:val="0"/>
                <w:color w:val="101218"/>
                <w:sz w:val="17"/>
              </w:rPr>
              <w:t>ضعیف</w:t>
            </w:r>
          </w:p>
        </w:tc>
        <w:tc>
          <w:tcPr>
            <w:tcW w:type="dxa" w:w="2556"/>
            <w:shd w:fill="F5F6F8"/>
          </w:tcPr>
          <w:p>
            <w:pPr>
              <w:spacing w:before="0" w:after="0" w:line="276" w:lineRule="auto"/>
              <w:jc w:val="right"/>
              <w:bidi w:val="1"/>
            </w:pPr>
            <w:r>
              <w:rPr>
                <w:rFonts w:ascii="Arial" w:hAnsi="Arial" w:cs="Arial" w:eastAsia="Arial"/>
                <w:b w:val="0"/>
                <w:color w:val="101218"/>
                <w:sz w:val="17"/>
              </w:rPr>
              <w:t>قالب عمومی و بدون پیوند با زبان بصری محصول</w:t>
            </w:r>
          </w:p>
        </w:tc>
      </w:tr>
      <w:tr>
        <w:tc>
          <w:tcPr>
            <w:tcW w:type="dxa" w:w="2556"/>
            <w:shd w:fill="FFFFFF"/>
          </w:tcPr>
          <w:p>
            <w:pPr>
              <w:spacing w:before="0" w:after="0" w:line="276" w:lineRule="auto"/>
              <w:jc w:val="right"/>
              <w:bidi w:val="1"/>
            </w:pPr>
            <w:r>
              <w:rPr>
                <w:rFonts w:ascii="Arial" w:hAnsi="Arial" w:cs="Arial" w:eastAsia="Arial"/>
                <w:b w:val="0"/>
                <w:color w:val="101218"/>
                <w:sz w:val="17"/>
              </w:rPr>
              <w:t>تناسب مالی</w:t>
            </w:r>
          </w:p>
        </w:tc>
        <w:tc>
          <w:tcPr>
            <w:tcW w:type="dxa" w:w="2556"/>
            <w:shd w:fill="FFFFFF"/>
          </w:tcPr>
          <w:p>
            <w:pPr>
              <w:spacing w:before="0" w:after="0" w:line="276" w:lineRule="auto"/>
              <w:jc w:val="right"/>
              <w:bidi w:val="1"/>
            </w:pPr>
            <w:r>
              <w:rPr>
                <w:rFonts w:ascii="Arial" w:hAnsi="Arial" w:cs="Arial" w:eastAsia="Arial"/>
                <w:b w:val="0"/>
                <w:color w:val="101218"/>
                <w:sz w:val="17"/>
              </w:rPr>
              <w:t>۵۱</w:t>
            </w:r>
          </w:p>
        </w:tc>
        <w:tc>
          <w:tcPr>
            <w:tcW w:type="dxa" w:w="2556"/>
            <w:shd w:fill="FFFFFF"/>
          </w:tcPr>
          <w:p>
            <w:pPr>
              <w:spacing w:before="0" w:after="0" w:line="276" w:lineRule="auto"/>
              <w:jc w:val="right"/>
              <w:bidi w:val="1"/>
            </w:pPr>
            <w:r>
              <w:rPr>
                <w:rFonts w:ascii="Arial" w:hAnsi="Arial" w:cs="Arial" w:eastAsia="Arial"/>
                <w:b w:val="0"/>
                <w:color w:val="101218"/>
                <w:sz w:val="17"/>
              </w:rPr>
              <w:t>نیازمند بازطراحی</w:t>
            </w:r>
          </w:p>
        </w:tc>
        <w:tc>
          <w:tcPr>
            <w:tcW w:type="dxa" w:w="2556"/>
            <w:shd w:fill="FFFFFF"/>
          </w:tcPr>
          <w:p>
            <w:pPr>
              <w:spacing w:before="0" w:after="0" w:line="276" w:lineRule="auto"/>
              <w:jc w:val="right"/>
              <w:bidi w:val="1"/>
            </w:pPr>
            <w:r>
              <w:rPr>
                <w:rFonts w:ascii="Arial" w:hAnsi="Arial" w:cs="Arial" w:eastAsia="Arial"/>
                <w:b w:val="0"/>
                <w:color w:val="101218"/>
                <w:sz w:val="17"/>
              </w:rPr>
              <w:t>فاقد کنترل‌های دفترکل، ارزش‌گذاری و تطبیق</w:t>
            </w:r>
          </w:p>
        </w:tc>
      </w:tr>
      <w:tr>
        <w:tc>
          <w:tcPr>
            <w:tcW w:type="dxa" w:w="2556"/>
            <w:shd w:fill="F5F6F8"/>
          </w:tcPr>
          <w:p>
            <w:pPr>
              <w:spacing w:before="0" w:after="0" w:line="276" w:lineRule="auto"/>
              <w:jc w:val="right"/>
              <w:bidi w:val="1"/>
            </w:pPr>
            <w:r>
              <w:rPr>
                <w:rFonts w:ascii="Arial" w:hAnsi="Arial" w:cs="Arial" w:eastAsia="Arial"/>
                <w:b w:val="0"/>
                <w:color w:val="101218"/>
                <w:sz w:val="17"/>
              </w:rPr>
              <w:t>خوانایی و اسکن</w:t>
            </w:r>
          </w:p>
        </w:tc>
        <w:tc>
          <w:tcPr>
            <w:tcW w:type="dxa" w:w="2556"/>
            <w:shd w:fill="F5F6F8"/>
          </w:tcPr>
          <w:p>
            <w:pPr>
              <w:spacing w:before="0" w:after="0" w:line="276" w:lineRule="auto"/>
              <w:jc w:val="right"/>
              <w:bidi w:val="1"/>
            </w:pPr>
            <w:r>
              <w:rPr>
                <w:rFonts w:ascii="Arial" w:hAnsi="Arial" w:cs="Arial" w:eastAsia="Arial"/>
                <w:b w:val="0"/>
                <w:color w:val="101218"/>
                <w:sz w:val="17"/>
              </w:rPr>
              <w:t>۷۶</w:t>
            </w:r>
          </w:p>
        </w:tc>
        <w:tc>
          <w:tcPr>
            <w:tcW w:type="dxa" w:w="2556"/>
            <w:shd w:fill="F5F6F8"/>
          </w:tcPr>
          <w:p>
            <w:pPr>
              <w:spacing w:before="0" w:after="0" w:line="276" w:lineRule="auto"/>
              <w:jc w:val="right"/>
              <w:bidi w:val="1"/>
            </w:pPr>
            <w:r>
              <w:rPr>
                <w:rFonts w:ascii="Arial" w:hAnsi="Arial" w:cs="Arial" w:eastAsia="Arial"/>
                <w:b w:val="0"/>
                <w:color w:val="101218"/>
                <w:sz w:val="17"/>
              </w:rPr>
              <w:t>خوب</w:t>
            </w:r>
          </w:p>
        </w:tc>
        <w:tc>
          <w:tcPr>
            <w:tcW w:type="dxa" w:w="2556"/>
            <w:shd w:fill="F5F6F8"/>
          </w:tcPr>
          <w:p>
            <w:pPr>
              <w:spacing w:before="0" w:after="0" w:line="276" w:lineRule="auto"/>
              <w:jc w:val="right"/>
              <w:bidi w:val="1"/>
            </w:pPr>
            <w:r>
              <w:rPr>
                <w:rFonts w:ascii="Arial" w:hAnsi="Arial" w:cs="Arial" w:eastAsia="Arial"/>
                <w:b w:val="0"/>
                <w:color w:val="101218"/>
                <w:sz w:val="17"/>
              </w:rPr>
              <w:t>جدول‌های منظم؛ جلد کم‌اطلاعات و برخی صفحات متراکم</w:t>
            </w:r>
          </w:p>
        </w:tc>
      </w:tr>
      <w:tr>
        <w:tc>
          <w:tcPr>
            <w:tcW w:type="dxa" w:w="2556"/>
            <w:shd w:fill="FFFFFF"/>
          </w:tcPr>
          <w:p>
            <w:pPr>
              <w:spacing w:before="0" w:after="0" w:line="276" w:lineRule="auto"/>
              <w:jc w:val="right"/>
              <w:bidi w:val="1"/>
            </w:pPr>
            <w:r>
              <w:rPr>
                <w:rFonts w:ascii="Arial" w:hAnsi="Arial" w:cs="Arial" w:eastAsia="Arial"/>
                <w:b w:val="0"/>
                <w:color w:val="101218"/>
                <w:sz w:val="17"/>
              </w:rPr>
              <w:t>دسترس پذیری</w:t>
            </w:r>
          </w:p>
        </w:tc>
        <w:tc>
          <w:tcPr>
            <w:tcW w:type="dxa" w:w="2556"/>
            <w:shd w:fill="FFFFFF"/>
          </w:tcPr>
          <w:p>
            <w:pPr>
              <w:spacing w:before="0" w:after="0" w:line="276" w:lineRule="auto"/>
              <w:jc w:val="right"/>
              <w:bidi w:val="1"/>
            </w:pPr>
            <w:r>
              <w:rPr>
                <w:rFonts w:ascii="Arial" w:hAnsi="Arial" w:cs="Arial" w:eastAsia="Arial"/>
                <w:b w:val="0"/>
                <w:color w:val="101218"/>
                <w:sz w:val="17"/>
              </w:rPr>
              <w:t>۵۸</w:t>
            </w:r>
          </w:p>
        </w:tc>
        <w:tc>
          <w:tcPr>
            <w:tcW w:type="dxa" w:w="2556"/>
            <w:shd w:fill="FFFFFF"/>
          </w:tcPr>
          <w:p>
            <w:pPr>
              <w:spacing w:before="0" w:after="0" w:line="276" w:lineRule="auto"/>
              <w:jc w:val="right"/>
              <w:bidi w:val="1"/>
            </w:pPr>
            <w:r>
              <w:rPr>
                <w:rFonts w:ascii="Arial" w:hAnsi="Arial" w:cs="Arial" w:eastAsia="Arial"/>
                <w:b w:val="0"/>
                <w:color w:val="101218"/>
                <w:sz w:val="17"/>
              </w:rPr>
              <w:t>ریسک متوسط</w:t>
            </w:r>
          </w:p>
        </w:tc>
        <w:tc>
          <w:tcPr>
            <w:tcW w:type="dxa" w:w="2556"/>
            <w:shd w:fill="FFFFFF"/>
          </w:tcPr>
          <w:p>
            <w:pPr>
              <w:spacing w:before="0" w:after="0" w:line="276" w:lineRule="auto"/>
              <w:jc w:val="right"/>
              <w:bidi w:val="1"/>
            </w:pPr>
            <w:r>
              <w:rPr>
                <w:rFonts w:ascii="Arial" w:hAnsi="Arial" w:cs="Arial" w:eastAsia="Arial"/>
                <w:b w:val="0"/>
                <w:color w:val="101218"/>
                <w:sz w:val="17"/>
              </w:rPr>
              <w:t>تصویر بدون متن جایگزین و پرش سطح تیتر</w:t>
            </w:r>
          </w:p>
        </w:tc>
      </w:tr>
      <w:tr>
        <w:tc>
          <w:tcPr>
            <w:tcW w:type="dxa" w:w="2556"/>
            <w:shd w:fill="F5F6F8"/>
          </w:tcPr>
          <w:p>
            <w:pPr>
              <w:spacing w:before="0" w:after="0" w:line="276" w:lineRule="auto"/>
              <w:jc w:val="right"/>
              <w:bidi w:val="1"/>
            </w:pPr>
            <w:r>
              <w:rPr>
                <w:rFonts w:ascii="Arial" w:hAnsi="Arial" w:cs="Arial" w:eastAsia="Arial"/>
                <w:b w:val="0"/>
                <w:color w:val="101218"/>
                <w:sz w:val="17"/>
              </w:rPr>
              <w:t>آمادگی اجرا</w:t>
            </w:r>
          </w:p>
        </w:tc>
        <w:tc>
          <w:tcPr>
            <w:tcW w:type="dxa" w:w="2556"/>
            <w:shd w:fill="F5F6F8"/>
          </w:tcPr>
          <w:p>
            <w:pPr>
              <w:spacing w:before="0" w:after="0" w:line="276" w:lineRule="auto"/>
              <w:jc w:val="right"/>
              <w:bidi w:val="1"/>
            </w:pPr>
            <w:r>
              <w:rPr>
                <w:rFonts w:ascii="Arial" w:hAnsi="Arial" w:cs="Arial" w:eastAsia="Arial"/>
                <w:b w:val="0"/>
                <w:color w:val="101218"/>
                <w:sz w:val="17"/>
              </w:rPr>
              <w:t>۶۹</w:t>
            </w:r>
          </w:p>
        </w:tc>
        <w:tc>
          <w:tcPr>
            <w:tcW w:type="dxa" w:w="2556"/>
            <w:shd w:fill="F5F6F8"/>
          </w:tcPr>
          <w:p>
            <w:pPr>
              <w:spacing w:before="0" w:after="0" w:line="276" w:lineRule="auto"/>
              <w:jc w:val="right"/>
              <w:bidi w:val="1"/>
            </w:pPr>
            <w:r>
              <w:rPr>
                <w:rFonts w:ascii="Arial" w:hAnsi="Arial" w:cs="Arial" w:eastAsia="Arial"/>
                <w:b w:val="0"/>
                <w:color w:val="101218"/>
                <w:sz w:val="17"/>
              </w:rPr>
              <w:t>متوسط</w:t>
            </w:r>
          </w:p>
        </w:tc>
        <w:tc>
          <w:tcPr>
            <w:tcW w:type="dxa" w:w="2556"/>
            <w:shd w:fill="F5F6F8"/>
          </w:tcPr>
          <w:p>
            <w:pPr>
              <w:spacing w:before="0" w:after="0" w:line="276" w:lineRule="auto"/>
              <w:jc w:val="right"/>
              <w:bidi w:val="1"/>
            </w:pPr>
            <w:r>
              <w:rPr>
                <w:rFonts w:ascii="Arial" w:hAnsi="Arial" w:cs="Arial" w:eastAsia="Arial"/>
                <w:b w:val="0"/>
                <w:color w:val="101218"/>
                <w:sz w:val="17"/>
              </w:rPr>
              <w:t>چک‌لیست عملیاتی دارد؛ شواهد پذیرش مالی کافی نیست</w:t>
            </w:r>
          </w:p>
        </w:tc>
      </w:tr>
    </w:tbl>
    <w:p>
      <w:pPr>
        <w:spacing w:before="0" w:after="40" w:line="276" w:lineRule="auto"/>
      </w:pPr>
    </w:p>
    <w:p>
      <w:pPr>
        <w:pStyle w:val="Heading2"/>
        <w:spacing w:before="100" w:after="80" w:line="276" w:lineRule="auto"/>
        <w:jc w:val="right"/>
        <w:bidi w:val="1"/>
        <w:keepNext w:val="1"/>
      </w:pPr>
      <w:r>
        <w:rPr>
          <w:rFonts w:ascii="Arial" w:hAnsi="Arial" w:cs="Arial" w:eastAsia="Arial"/>
          <w:b/>
          <w:color w:val="101218"/>
          <w:sz w:val="26"/>
        </w:rPr>
        <w:t>تصمیم پیشنهادی</w:t>
      </w:r>
    </w:p>
    <w:p>
      <w:pPr>
        <w:spacing w:before="0" w:after="140" w:line="298" w:lineRule="auto"/>
        <w:jc w:val="right"/>
        <w:bidi w:val="1"/>
      </w:pPr>
      <w:r>
        <w:rPr>
          <w:rFonts w:ascii="Arial" w:hAnsi="Arial" w:cs="Arial" w:eastAsia="Arial"/>
          <w:b w:val="0"/>
          <w:color w:val="101218"/>
          <w:sz w:val="21"/>
        </w:rPr>
        <w:t>اسکلت ۱۲ بخشی حفظ شود، اما خروجی به یک قالب مالی تصمیم‌محور تبدیل شود. نسخه جدید باید در همان دو صفحه اول پاسخ دهد چه تصمیمی مطرح است، چه عددی منبع حقیقت است، چه کنترل‌هایی از ثبت دوباره یا دسترسی غیرمجاز جلوگیری می‌کنند و چه مدرکی برای عرضه لازم است.</w:t>
      </w:r>
    </w:p>
    <w:p>
      <w:pPr>
        <w:spacing w:before="0" w:after="80" w:line="283" w:lineRule="auto"/>
        <w:ind w:right="259" w:hanging="259"/>
        <w:jc w:val="right"/>
        <w:bidi w:val="1"/>
      </w:pPr>
      <w:r>
        <w:rPr>
          <w:rFonts w:ascii="Arial" w:hAnsi="Arial" w:cs="Arial" w:eastAsia="Arial"/>
          <w:b/>
          <w:color w:val="4F46E5"/>
          <w:sz w:val="20"/>
        </w:rPr>
        <w:t xml:space="preserve">•  </w:t>
      </w:r>
      <w:r>
        <w:rPr>
          <w:rFonts w:ascii="Arial" w:hAnsi="Arial" w:cs="Arial" w:eastAsia="Arial"/>
          <w:b w:val="0"/>
          <w:color w:val="101218"/>
          <w:sz w:val="20"/>
        </w:rPr>
        <w:t>هویت بصری سند با محصول یکپارچه شود و نام نهایی برند پیش از انتشار تثبیت شود.</w:t>
      </w:r>
    </w:p>
    <w:p>
      <w:pPr>
        <w:spacing w:before="0" w:after="80" w:line="283" w:lineRule="auto"/>
        <w:ind w:right="259" w:hanging="259"/>
        <w:jc w:val="right"/>
        <w:bidi w:val="1"/>
      </w:pPr>
      <w:r>
        <w:rPr>
          <w:rFonts w:ascii="Arial" w:hAnsi="Arial" w:cs="Arial" w:eastAsia="Arial"/>
          <w:b/>
          <w:color w:val="4F46E5"/>
          <w:sz w:val="20"/>
        </w:rPr>
        <w:t xml:space="preserve">•  </w:t>
      </w:r>
      <w:r>
        <w:rPr>
          <w:rFonts w:ascii="Arial" w:hAnsi="Arial" w:cs="Arial" w:eastAsia="Arial"/>
          <w:b w:val="0"/>
          <w:color w:val="101218"/>
          <w:sz w:val="20"/>
        </w:rPr>
        <w:t>بخش مستقل برای ثابت‌های مالی، مسیر حسابرسی، منشأ نرخ و ارزش‌گذاری و تطبیق دفترکل اضافه شود.</w:t>
      </w:r>
    </w:p>
    <w:p>
      <w:pPr>
        <w:spacing w:before="0" w:after="80" w:line="283" w:lineRule="auto"/>
        <w:ind w:right="259" w:hanging="259"/>
        <w:jc w:val="right"/>
        <w:bidi w:val="1"/>
      </w:pPr>
      <w:r>
        <w:rPr>
          <w:rFonts w:ascii="Arial" w:hAnsi="Arial" w:cs="Arial" w:eastAsia="Arial"/>
          <w:b/>
          <w:color w:val="4F46E5"/>
          <w:sz w:val="20"/>
        </w:rPr>
        <w:t xml:space="preserve">•  </w:t>
      </w:r>
      <w:r>
        <w:rPr>
          <w:rFonts w:ascii="Arial" w:hAnsi="Arial" w:cs="Arial" w:eastAsia="Arial"/>
          <w:b w:val="0"/>
          <w:color w:val="101218"/>
          <w:sz w:val="20"/>
        </w:rPr>
        <w:t>ماتریس ریسک، مالک کنترل و شواهد پذیرش جایگزین متن‌های placeholder عمومی شود.</w:t>
      </w:r>
    </w:p>
    <w:p>
      <w:r>
        <w:br w:type="page"/>
      </w:r>
    </w:p>
    <w:p>
      <w:pPr>
        <w:spacing w:before="100" w:after="40" w:line="276" w:lineRule="auto"/>
        <w:jc w:val="right"/>
        <w:bidi w:val="1"/>
        <w:keepNext w:val="1"/>
      </w:pPr>
      <w:r>
        <w:rPr>
          <w:rFonts w:ascii="Arial" w:hAnsi="Arial" w:cs="Arial" w:eastAsia="Arial"/>
          <w:b/>
          <w:color w:val="4F46E5"/>
          <w:sz w:val="17"/>
        </w:rPr>
        <w:t>طرح پیشنهادی</w:t>
      </w:r>
    </w:p>
    <w:p>
      <w:pPr>
        <w:pStyle w:val="Heading1"/>
        <w:spacing w:before="140" w:after="120" w:line="276" w:lineRule="auto"/>
        <w:jc w:val="right"/>
        <w:bidi w:val="1"/>
        <w:keepNext w:val="1"/>
      </w:pPr>
      <w:r>
        <w:rPr>
          <w:rFonts w:ascii="Arial" w:hAnsi="Arial" w:cs="Arial" w:eastAsia="Arial"/>
          <w:b/>
          <w:color w:val="101218"/>
          <w:sz w:val="40"/>
        </w:rPr>
        <w:t>مقایسه قبل و بعد</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مولفه</w:t>
            </w:r>
          </w:p>
        </w:tc>
        <w:tc>
          <w:tcPr>
            <w:tcW w:type="dxa" w:w="3672"/>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قبل</w:t>
            </w:r>
          </w:p>
        </w:tc>
        <w:tc>
          <w:tcPr>
            <w:tcW w:type="dxa" w:w="4824"/>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بعد پیشنهادی</w:t>
            </w:r>
          </w:p>
        </w:tc>
      </w:tr>
      <w:tr>
        <w:tc>
          <w:tcPr>
            <w:tcW w:type="dxa" w:w="3408"/>
            <w:shd w:fill="FFFFFF"/>
          </w:tcPr>
          <w:p>
            <w:pPr>
              <w:spacing w:before="0" w:after="0" w:line="276" w:lineRule="auto"/>
              <w:jc w:val="right"/>
              <w:bidi w:val="1"/>
            </w:pPr>
            <w:r>
              <w:rPr>
                <w:rFonts w:ascii="Arial" w:hAnsi="Arial" w:cs="Arial" w:eastAsia="Arial"/>
                <w:b w:val="0"/>
                <w:color w:val="101218"/>
                <w:sz w:val="17"/>
              </w:rPr>
              <w:t>جلد</w:t>
            </w:r>
          </w:p>
        </w:tc>
        <w:tc>
          <w:tcPr>
            <w:tcW w:type="dxa" w:w="3408"/>
            <w:shd w:fill="FFFFFF"/>
          </w:tcPr>
          <w:p>
            <w:pPr>
              <w:spacing w:before="0" w:after="0" w:line="276" w:lineRule="auto"/>
              <w:jc w:val="right"/>
              <w:bidi w:val="1"/>
            </w:pPr>
            <w:r>
              <w:rPr>
                <w:rFonts w:ascii="Arial" w:hAnsi="Arial" w:cs="Arial" w:eastAsia="Arial"/>
                <w:b w:val="0"/>
                <w:color w:val="101218"/>
                <w:sz w:val="17"/>
              </w:rPr>
              <w:t>عنوان عمومی و فضای خالی زیاد</w:t>
            </w:r>
          </w:p>
        </w:tc>
        <w:tc>
          <w:tcPr>
            <w:tcW w:type="dxa" w:w="3408"/>
            <w:shd w:fill="FFFFFF"/>
          </w:tcPr>
          <w:p>
            <w:pPr>
              <w:spacing w:before="0" w:after="0" w:line="276" w:lineRule="auto"/>
              <w:jc w:val="right"/>
              <w:bidi w:val="1"/>
            </w:pPr>
            <w:r>
              <w:rPr>
                <w:rFonts w:ascii="Arial" w:hAnsi="Arial" w:cs="Arial" w:eastAsia="Arial"/>
                <w:b w:val="0"/>
                <w:color w:val="101218"/>
                <w:sz w:val="17"/>
              </w:rPr>
              <w:t>عنوان تصمیم، وضعیت، دامنه، مبنای ارزیابی و هویت محصول در یک نگاه</w:t>
            </w:r>
          </w:p>
        </w:tc>
      </w:tr>
      <w:tr>
        <w:tc>
          <w:tcPr>
            <w:tcW w:type="dxa" w:w="3408"/>
            <w:shd w:fill="F5F6F8"/>
          </w:tcPr>
          <w:p>
            <w:pPr>
              <w:spacing w:before="0" w:after="0" w:line="276" w:lineRule="auto"/>
              <w:jc w:val="right"/>
              <w:bidi w:val="1"/>
            </w:pPr>
            <w:r>
              <w:rPr>
                <w:rFonts w:ascii="Arial" w:hAnsi="Arial" w:cs="Arial" w:eastAsia="Arial"/>
                <w:b w:val="0"/>
                <w:color w:val="101218"/>
                <w:sz w:val="17"/>
              </w:rPr>
              <w:t>رنگ</w:t>
            </w:r>
          </w:p>
        </w:tc>
        <w:tc>
          <w:tcPr>
            <w:tcW w:type="dxa" w:w="3408"/>
            <w:shd w:fill="F5F6F8"/>
          </w:tcPr>
          <w:p>
            <w:pPr>
              <w:spacing w:before="0" w:after="0" w:line="276" w:lineRule="auto"/>
              <w:jc w:val="right"/>
              <w:bidi w:val="1"/>
            </w:pPr>
            <w:r>
              <w:rPr>
                <w:rFonts w:ascii="Arial" w:hAnsi="Arial" w:cs="Arial" w:eastAsia="Arial"/>
                <w:b w:val="0"/>
                <w:color w:val="101218"/>
                <w:sz w:val="17"/>
              </w:rPr>
              <w:t>سرمه‌ای و آبی سازمانی عمومی</w:t>
            </w:r>
          </w:p>
        </w:tc>
        <w:tc>
          <w:tcPr>
            <w:tcW w:type="dxa" w:w="3408"/>
            <w:shd w:fill="F5F6F8"/>
          </w:tcPr>
          <w:p>
            <w:pPr>
              <w:spacing w:before="0" w:after="0" w:line="276" w:lineRule="auto"/>
              <w:jc w:val="right"/>
              <w:bidi w:val="1"/>
            </w:pPr>
            <w:r>
              <w:rPr>
                <w:rFonts w:ascii="Arial" w:hAnsi="Arial" w:cs="Arial" w:eastAsia="Arial"/>
                <w:b w:val="0"/>
                <w:color w:val="101218"/>
                <w:sz w:val="17"/>
              </w:rPr>
              <w:t>جوهر تیره و Iris برند؛ سبز و قرمز فقط برای معنای مالی</w:t>
            </w:r>
          </w:p>
        </w:tc>
      </w:tr>
      <w:tr>
        <w:tc>
          <w:tcPr>
            <w:tcW w:type="dxa" w:w="3408"/>
            <w:shd w:fill="FFFFFF"/>
          </w:tcPr>
          <w:p>
            <w:pPr>
              <w:spacing w:before="0" w:after="0" w:line="276" w:lineRule="auto"/>
              <w:jc w:val="right"/>
              <w:bidi w:val="1"/>
            </w:pPr>
            <w:r>
              <w:rPr>
                <w:rFonts w:ascii="Arial" w:hAnsi="Arial" w:cs="Arial" w:eastAsia="Arial"/>
                <w:b w:val="0"/>
                <w:color w:val="101218"/>
                <w:sz w:val="17"/>
              </w:rPr>
              <w:t>تایپوگرافی</w:t>
            </w:r>
          </w:p>
        </w:tc>
        <w:tc>
          <w:tcPr>
            <w:tcW w:type="dxa" w:w="3408"/>
            <w:shd w:fill="FFFFFF"/>
          </w:tcPr>
          <w:p>
            <w:pPr>
              <w:spacing w:before="0" w:after="0" w:line="276" w:lineRule="auto"/>
              <w:jc w:val="right"/>
              <w:bidi w:val="1"/>
            </w:pPr>
            <w:r>
              <w:rPr>
                <w:rFonts w:ascii="Arial" w:hAnsi="Arial" w:cs="Arial" w:eastAsia="Arial"/>
                <w:b w:val="0"/>
                <w:color w:val="101218"/>
                <w:sz w:val="17"/>
              </w:rPr>
              <w:t>Helvetica انگلیسی و قالب چپ‌چین</w:t>
            </w:r>
          </w:p>
        </w:tc>
        <w:tc>
          <w:tcPr>
            <w:tcW w:type="dxa" w:w="3408"/>
            <w:shd w:fill="FFFFFF"/>
          </w:tcPr>
          <w:p>
            <w:pPr>
              <w:spacing w:before="0" w:after="0" w:line="276" w:lineRule="auto"/>
              <w:jc w:val="right"/>
              <w:bidi w:val="1"/>
            </w:pPr>
            <w:r>
              <w:rPr>
                <w:rFonts w:ascii="Arial" w:hAnsi="Arial" w:cs="Arial" w:eastAsia="Arial"/>
                <w:b w:val="0"/>
                <w:color w:val="101218"/>
                <w:sz w:val="17"/>
              </w:rPr>
              <w:t>فونت فارسی خوانا، راست‌چین واقعی و اعداد جدولی</w:t>
            </w:r>
          </w:p>
        </w:tc>
      </w:tr>
      <w:tr>
        <w:tc>
          <w:tcPr>
            <w:tcW w:type="dxa" w:w="3408"/>
            <w:shd w:fill="F5F6F8"/>
          </w:tcPr>
          <w:p>
            <w:pPr>
              <w:spacing w:before="0" w:after="0" w:line="276" w:lineRule="auto"/>
              <w:jc w:val="right"/>
              <w:bidi w:val="1"/>
            </w:pPr>
            <w:r>
              <w:rPr>
                <w:rFonts w:ascii="Arial" w:hAnsi="Arial" w:cs="Arial" w:eastAsia="Arial"/>
                <w:b w:val="0"/>
                <w:color w:val="101218"/>
                <w:sz w:val="17"/>
              </w:rPr>
              <w:t>ناوبری</w:t>
            </w:r>
          </w:p>
        </w:tc>
        <w:tc>
          <w:tcPr>
            <w:tcW w:type="dxa" w:w="3408"/>
            <w:shd w:fill="F5F6F8"/>
          </w:tcPr>
          <w:p>
            <w:pPr>
              <w:spacing w:before="0" w:after="0" w:line="276" w:lineRule="auto"/>
              <w:jc w:val="right"/>
              <w:bidi w:val="1"/>
            </w:pPr>
            <w:r>
              <w:rPr>
                <w:rFonts w:ascii="Arial" w:hAnsi="Arial" w:cs="Arial" w:eastAsia="Arial"/>
                <w:b w:val="0"/>
                <w:color w:val="101218"/>
                <w:sz w:val="17"/>
              </w:rPr>
              <w:t>۱۲ بخش بدون نقشه تصمیم</w:t>
            </w:r>
          </w:p>
        </w:tc>
        <w:tc>
          <w:tcPr>
            <w:tcW w:type="dxa" w:w="3408"/>
            <w:shd w:fill="F5F6F8"/>
          </w:tcPr>
          <w:p>
            <w:pPr>
              <w:spacing w:before="0" w:after="0" w:line="276" w:lineRule="auto"/>
              <w:jc w:val="right"/>
              <w:bidi w:val="1"/>
            </w:pPr>
            <w:r>
              <w:rPr>
                <w:rFonts w:ascii="Arial" w:hAnsi="Arial" w:cs="Arial" w:eastAsia="Arial"/>
                <w:b w:val="0"/>
                <w:color w:val="101218"/>
                <w:sz w:val="17"/>
              </w:rPr>
              <w:t>خلاصه مدیریتی، امتیاز ریسک، سپس شواهد و تصمیم</w:t>
            </w:r>
          </w:p>
        </w:tc>
      </w:tr>
      <w:tr>
        <w:tc>
          <w:tcPr>
            <w:tcW w:type="dxa" w:w="3408"/>
            <w:shd w:fill="FFFFFF"/>
          </w:tcPr>
          <w:p>
            <w:pPr>
              <w:spacing w:before="0" w:after="0" w:line="276" w:lineRule="auto"/>
              <w:jc w:val="right"/>
              <w:bidi w:val="1"/>
            </w:pPr>
            <w:r>
              <w:rPr>
                <w:rFonts w:ascii="Arial" w:hAnsi="Arial" w:cs="Arial" w:eastAsia="Arial"/>
                <w:b w:val="0"/>
                <w:color w:val="101218"/>
                <w:sz w:val="17"/>
              </w:rPr>
              <w:t>معماری</w:t>
            </w:r>
          </w:p>
        </w:tc>
        <w:tc>
          <w:tcPr>
            <w:tcW w:type="dxa" w:w="3408"/>
            <w:shd w:fill="FFFFFF"/>
          </w:tcPr>
          <w:p>
            <w:pPr>
              <w:spacing w:before="0" w:after="0" w:line="276" w:lineRule="auto"/>
              <w:jc w:val="right"/>
              <w:bidi w:val="1"/>
            </w:pPr>
            <w:r>
              <w:rPr>
                <w:rFonts w:ascii="Arial" w:hAnsi="Arial" w:cs="Arial" w:eastAsia="Arial"/>
                <w:b w:val="0"/>
                <w:color w:val="101218"/>
                <w:sz w:val="17"/>
              </w:rPr>
              <w:t>نمودار خطی Client تا Downstream</w:t>
            </w:r>
          </w:p>
        </w:tc>
        <w:tc>
          <w:tcPr>
            <w:tcW w:type="dxa" w:w="3408"/>
            <w:shd w:fill="FFFFFF"/>
          </w:tcPr>
          <w:p>
            <w:pPr>
              <w:spacing w:before="0" w:after="0" w:line="276" w:lineRule="auto"/>
              <w:jc w:val="right"/>
              <w:bidi w:val="1"/>
            </w:pPr>
            <w:r>
              <w:rPr>
                <w:rFonts w:ascii="Arial" w:hAnsi="Arial" w:cs="Arial" w:eastAsia="Arial"/>
                <w:b w:val="0"/>
                <w:color w:val="101218"/>
                <w:sz w:val="17"/>
              </w:rPr>
              <w:t>مسیر مستقل خواندن، نوشتن دفترکل، داده بازار و audit trail</w:t>
            </w:r>
          </w:p>
        </w:tc>
      </w:tr>
      <w:tr>
        <w:tc>
          <w:tcPr>
            <w:tcW w:type="dxa" w:w="3408"/>
            <w:shd w:fill="F5F6F8"/>
          </w:tcPr>
          <w:p>
            <w:pPr>
              <w:spacing w:before="0" w:after="0" w:line="276" w:lineRule="auto"/>
              <w:jc w:val="right"/>
              <w:bidi w:val="1"/>
            </w:pPr>
            <w:r>
              <w:rPr>
                <w:rFonts w:ascii="Arial" w:hAnsi="Arial" w:cs="Arial" w:eastAsia="Arial"/>
                <w:b w:val="0"/>
                <w:color w:val="101218"/>
                <w:sz w:val="17"/>
              </w:rPr>
              <w:t>قرارداد داده</w:t>
            </w:r>
          </w:p>
        </w:tc>
        <w:tc>
          <w:tcPr>
            <w:tcW w:type="dxa" w:w="3408"/>
            <w:shd w:fill="F5F6F8"/>
          </w:tcPr>
          <w:p>
            <w:pPr>
              <w:spacing w:before="0" w:after="0" w:line="276" w:lineRule="auto"/>
              <w:jc w:val="right"/>
              <w:bidi w:val="1"/>
            </w:pPr>
            <w:r>
              <w:rPr>
                <w:rFonts w:ascii="Arial" w:hAnsi="Arial" w:cs="Arial" w:eastAsia="Arial"/>
                <w:b w:val="0"/>
                <w:color w:val="101218"/>
                <w:sz w:val="17"/>
              </w:rPr>
              <w:t>فهرست عمومی field و type</w:t>
            </w:r>
          </w:p>
        </w:tc>
        <w:tc>
          <w:tcPr>
            <w:tcW w:type="dxa" w:w="3408"/>
            <w:shd w:fill="F5F6F8"/>
          </w:tcPr>
          <w:p>
            <w:pPr>
              <w:spacing w:before="0" w:after="0" w:line="276" w:lineRule="auto"/>
              <w:jc w:val="right"/>
              <w:bidi w:val="1"/>
            </w:pPr>
            <w:r>
              <w:rPr>
                <w:rFonts w:ascii="Arial" w:hAnsi="Arial" w:cs="Arial" w:eastAsia="Arial"/>
                <w:b w:val="0"/>
                <w:color w:val="101218"/>
                <w:sz w:val="17"/>
              </w:rPr>
              <w:t>مبلغ، ارز، زمان مؤثر، نرخ منبع، مالک، idempotency key و نسخه</w:t>
            </w:r>
          </w:p>
        </w:tc>
      </w:tr>
      <w:tr>
        <w:tc>
          <w:tcPr>
            <w:tcW w:type="dxa" w:w="3408"/>
            <w:shd w:fill="FFFFFF"/>
          </w:tcPr>
          <w:p>
            <w:pPr>
              <w:spacing w:before="0" w:after="0" w:line="276" w:lineRule="auto"/>
              <w:jc w:val="right"/>
              <w:bidi w:val="1"/>
            </w:pPr>
            <w:r>
              <w:rPr>
                <w:rFonts w:ascii="Arial" w:hAnsi="Arial" w:cs="Arial" w:eastAsia="Arial"/>
                <w:b w:val="0"/>
                <w:color w:val="101218"/>
                <w:sz w:val="17"/>
              </w:rPr>
              <w:t>امنیت</w:t>
            </w:r>
          </w:p>
        </w:tc>
        <w:tc>
          <w:tcPr>
            <w:tcW w:type="dxa" w:w="3408"/>
            <w:shd w:fill="FFFFFF"/>
          </w:tcPr>
          <w:p>
            <w:pPr>
              <w:spacing w:before="0" w:after="0" w:line="276" w:lineRule="auto"/>
              <w:jc w:val="right"/>
              <w:bidi w:val="1"/>
            </w:pPr>
            <w:r>
              <w:rPr>
                <w:rFonts w:ascii="Arial" w:hAnsi="Arial" w:cs="Arial" w:eastAsia="Arial"/>
                <w:b w:val="0"/>
                <w:color w:val="101218"/>
                <w:sz w:val="17"/>
              </w:rPr>
              <w:t>چک‌لیست عمومی Auth و Privacy</w:t>
            </w:r>
          </w:p>
        </w:tc>
        <w:tc>
          <w:tcPr>
            <w:tcW w:type="dxa" w:w="3408"/>
            <w:shd w:fill="FFFFFF"/>
          </w:tcPr>
          <w:p>
            <w:pPr>
              <w:spacing w:before="0" w:after="0" w:line="276" w:lineRule="auto"/>
              <w:jc w:val="right"/>
              <w:bidi w:val="1"/>
            </w:pPr>
            <w:r>
              <w:rPr>
                <w:rFonts w:ascii="Arial" w:hAnsi="Arial" w:cs="Arial" w:eastAsia="Arial"/>
                <w:b w:val="0"/>
                <w:color w:val="101218"/>
                <w:sz w:val="17"/>
              </w:rPr>
              <w:t>RLS مالک‌محور، مرز tenant، حفاظت کلید، session و دسترسی عملیاتی</w:t>
            </w:r>
          </w:p>
        </w:tc>
      </w:tr>
      <w:tr>
        <w:tc>
          <w:tcPr>
            <w:tcW w:type="dxa" w:w="3408"/>
            <w:shd w:fill="F5F6F8"/>
          </w:tcPr>
          <w:p>
            <w:pPr>
              <w:spacing w:before="0" w:after="0" w:line="276" w:lineRule="auto"/>
              <w:jc w:val="right"/>
              <w:bidi w:val="1"/>
            </w:pPr>
            <w:r>
              <w:rPr>
                <w:rFonts w:ascii="Arial" w:hAnsi="Arial" w:cs="Arial" w:eastAsia="Arial"/>
                <w:b w:val="0"/>
                <w:color w:val="101218"/>
                <w:sz w:val="17"/>
              </w:rPr>
              <w:t>عملیات</w:t>
            </w:r>
          </w:p>
        </w:tc>
        <w:tc>
          <w:tcPr>
            <w:tcW w:type="dxa" w:w="3408"/>
            <w:shd w:fill="F5F6F8"/>
          </w:tcPr>
          <w:p>
            <w:pPr>
              <w:spacing w:before="0" w:after="0" w:line="276" w:lineRule="auto"/>
              <w:jc w:val="right"/>
              <w:bidi w:val="1"/>
            </w:pPr>
            <w:r>
              <w:rPr>
                <w:rFonts w:ascii="Arial" w:hAnsi="Arial" w:cs="Arial" w:eastAsia="Arial"/>
                <w:b w:val="0"/>
                <w:color w:val="101218"/>
                <w:sz w:val="17"/>
              </w:rPr>
              <w:t>SLO عمومی latency و success rate</w:t>
            </w:r>
          </w:p>
        </w:tc>
        <w:tc>
          <w:tcPr>
            <w:tcW w:type="dxa" w:w="3408"/>
            <w:shd w:fill="F5F6F8"/>
          </w:tcPr>
          <w:p>
            <w:pPr>
              <w:spacing w:before="0" w:after="0" w:line="276" w:lineRule="auto"/>
              <w:jc w:val="right"/>
              <w:bidi w:val="1"/>
            </w:pPr>
            <w:r>
              <w:rPr>
                <w:rFonts w:ascii="Arial" w:hAnsi="Arial" w:cs="Arial" w:eastAsia="Arial"/>
                <w:b w:val="0"/>
                <w:color w:val="101218"/>
                <w:sz w:val="17"/>
              </w:rPr>
              <w:t>تراز دفترکل، پوشش قیمت، خطای نرخ، RPO و RTO و آزمون بازیابی</w:t>
            </w:r>
          </w:p>
        </w:tc>
      </w:tr>
      <w:tr>
        <w:tc>
          <w:tcPr>
            <w:tcW w:type="dxa" w:w="3408"/>
            <w:shd w:fill="FFFFFF"/>
          </w:tcPr>
          <w:p>
            <w:pPr>
              <w:spacing w:before="0" w:after="0" w:line="276" w:lineRule="auto"/>
              <w:jc w:val="right"/>
              <w:bidi w:val="1"/>
            </w:pPr>
            <w:r>
              <w:rPr>
                <w:rFonts w:ascii="Arial" w:hAnsi="Arial" w:cs="Arial" w:eastAsia="Arial"/>
                <w:b w:val="0"/>
                <w:color w:val="101218"/>
                <w:sz w:val="17"/>
              </w:rPr>
              <w:t>دسترس پذیری</w:t>
            </w:r>
          </w:p>
        </w:tc>
        <w:tc>
          <w:tcPr>
            <w:tcW w:type="dxa" w:w="3408"/>
            <w:shd w:fill="FFFFFF"/>
          </w:tcPr>
          <w:p>
            <w:pPr>
              <w:spacing w:before="0" w:after="0" w:line="276" w:lineRule="auto"/>
              <w:jc w:val="right"/>
              <w:bidi w:val="1"/>
            </w:pPr>
            <w:r>
              <w:rPr>
                <w:rFonts w:ascii="Arial" w:hAnsi="Arial" w:cs="Arial" w:eastAsia="Arial"/>
                <w:b w:val="0"/>
                <w:color w:val="101218"/>
                <w:sz w:val="17"/>
              </w:rPr>
              <w:t>تصویر بدون alt و پرش Heading 1 به 3</w:t>
            </w:r>
          </w:p>
        </w:tc>
        <w:tc>
          <w:tcPr>
            <w:tcW w:type="dxa" w:w="3408"/>
            <w:shd w:fill="FFFFFF"/>
          </w:tcPr>
          <w:p>
            <w:pPr>
              <w:spacing w:before="0" w:after="0" w:line="276" w:lineRule="auto"/>
              <w:jc w:val="right"/>
              <w:bidi w:val="1"/>
            </w:pPr>
            <w:r>
              <w:rPr>
                <w:rFonts w:ascii="Arial" w:hAnsi="Arial" w:cs="Arial" w:eastAsia="Arial"/>
                <w:b w:val="0"/>
                <w:color w:val="101218"/>
                <w:sz w:val="17"/>
              </w:rPr>
              <w:t>alt text، سلسله‌مراتب Heading 1 و 2 و جدول‌های قابل خواندن</w:t>
            </w:r>
          </w:p>
        </w:tc>
      </w:tr>
    </w:tbl>
    <w:p>
      <w:pPr>
        <w:spacing w:before="0" w:after="40" w:line="276" w:lineRule="auto"/>
      </w:pPr>
    </w:p>
    <w:p>
      <w:pPr>
        <w:pStyle w:val="Heading2"/>
        <w:spacing w:before="100" w:after="80" w:line="276" w:lineRule="auto"/>
        <w:jc w:val="right"/>
        <w:bidi w:val="1"/>
        <w:keepNext w:val="1"/>
      </w:pPr>
      <w:r>
        <w:rPr>
          <w:rFonts w:ascii="Arial" w:hAnsi="Arial" w:cs="Arial" w:eastAsia="Arial"/>
          <w:b/>
          <w:color w:val="101218"/>
          <w:sz w:val="26"/>
        </w:rPr>
        <w:t>اثر مورد انتظار</w:t>
      </w:r>
    </w:p>
    <w:p>
      <w:pPr>
        <w:spacing w:before="0" w:after="140" w:line="298" w:lineRule="auto"/>
        <w:jc w:val="right"/>
        <w:bidi w:val="1"/>
      </w:pPr>
      <w:r>
        <w:rPr>
          <w:rFonts w:ascii="Arial" w:hAnsi="Arial" w:cs="Arial" w:eastAsia="Arial"/>
          <w:b w:val="0"/>
          <w:color w:val="101218"/>
          <w:sz w:val="21"/>
        </w:rPr>
        <w:t>نسخه پیشنهادی زمان فهم سند را کاهش می‌دهد، چون تصمیم، ریسک و شواهد را جلوتر از جزئیات قرار می‌دهد. همچنین بررسی‌کننده مالی می‌تواند بدون جست‌وجو در متن تشخیص دهد عدد مرجع از کجا آمده، کدام عملیات برگشت‌پذیر است و چه کنترل‌هایی پیش از عرضه باید عبور کنند.</w:t>
      </w:r>
    </w:p>
    <w:p>
      <w:r>
        <w:br w:type="page"/>
      </w:r>
    </w:p>
    <w:p>
      <w:pPr>
        <w:spacing w:before="100" w:after="40" w:line="276" w:lineRule="auto"/>
        <w:jc w:val="right"/>
        <w:bidi w:val="1"/>
        <w:keepNext w:val="1"/>
      </w:pPr>
      <w:r>
        <w:rPr>
          <w:rFonts w:ascii="Arial" w:hAnsi="Arial" w:cs="Arial" w:eastAsia="Arial"/>
          <w:b/>
          <w:color w:val="4F46E5"/>
          <w:sz w:val="17"/>
        </w:rPr>
        <w:t>قبل</w:t>
      </w:r>
    </w:p>
    <w:p>
      <w:pPr>
        <w:pStyle w:val="Heading1"/>
        <w:spacing w:before="140" w:after="120" w:line="276" w:lineRule="auto"/>
        <w:jc w:val="right"/>
        <w:bidi w:val="1"/>
        <w:keepNext w:val="1"/>
      </w:pPr>
      <w:r>
        <w:rPr>
          <w:rFonts w:ascii="Arial" w:hAnsi="Arial" w:cs="Arial" w:eastAsia="Arial"/>
          <w:b/>
          <w:color w:val="101218"/>
          <w:sz w:val="40"/>
        </w:rPr>
        <w:t>شواهد بصری نسخه موجود</w:t>
      </w:r>
    </w:p>
    <w:p>
      <w:pPr>
        <w:spacing w:before="0" w:after="140" w:line="298" w:lineRule="auto"/>
        <w:jc w:val="right"/>
        <w:bidi w:val="1"/>
      </w:pPr>
      <w:r>
        <w:rPr>
          <w:rFonts w:ascii="Arial" w:hAnsi="Arial" w:cs="Arial" w:eastAsia="Arial"/>
          <w:b w:val="0"/>
          <w:color w:val="101218"/>
          <w:sz w:val="21"/>
        </w:rPr>
        <w:t>جلد فعلی تمیز است، اما بیش از نیمی از صفحه را بدون هدف رها می‌کند. هیچ نشانه‌ای از محصول مالی، مخاطب تصمیم، سطح محرمانگی یا وضعیت کنترل‌ها دیده نمی‌شود.</w:t>
      </w:r>
    </w:p>
    <w:p>
      <w:pPr>
        <w:spacing w:before="0" w:after="100" w:line="276" w:lineRule="auto"/>
        <w:jc w:val="center"/>
      </w:pPr>
      <w:r>
        <w:drawing>
          <wp:inline>
            <wp:extent cx="4160520" cy="5384202"/>
            <wp:docPr id="2" name="Picture 2" descr="جلد نسخه موجود قالب عمومی System Design"/>
            <wp:cNvGraphicFramePr>
              <a:graphicFrameLocks noChangeAspect="1"/>
            </wp:cNvGraphicFramePr>
            <a:graphic>
              <a:graphicData uri="http://schemas.openxmlformats.org/drawingml/2006/picture">
                <pic:pic>
                  <pic:nvPicPr>
                    <pic:cNvPr id="0" name="page-1.png"/>
                    <pic:cNvPicPr/>
                  </pic:nvPicPr>
                  <pic:blipFill>
                    <a:blip r:embed="rId14"/>
                    <a:stretch>
                      <a:fillRect/>
                    </a:stretch>
                  </pic:blipFill>
                  <pic:spPr>
                    <a:xfrm>
                      <a:off x="0" y="0"/>
                      <a:ext cx="4160520" cy="5384202"/>
                    </a:xfrm>
                    <a:prstGeom prst="rect"/>
                  </pic:spPr>
                </pic:pic>
              </a:graphicData>
            </a:graphic>
          </wp:inline>
        </w:drawing>
      </w:r>
    </w:p>
    <w:p>
      <w:pPr>
        <w:spacing w:before="0" w:after="200" w:line="276" w:lineRule="auto"/>
        <w:jc w:val="center"/>
        <w:bidi w:val="1"/>
      </w:pPr>
      <w:r>
        <w:rPr>
          <w:rFonts w:ascii="Arial" w:hAnsi="Arial" w:cs="Arial" w:eastAsia="Arial"/>
          <w:b w:val="0"/>
          <w:color w:val="6B7280"/>
          <w:sz w:val="17"/>
        </w:rPr>
        <w:t>نمونه جلد قالب مرجع</w:t>
      </w:r>
    </w:p>
    <w:p>
      <w:pPr>
        <w:spacing w:before="100" w:after="40" w:line="276" w:lineRule="auto"/>
        <w:jc w:val="right"/>
        <w:bidi w:val="1"/>
        <w:keepNext w:val="1"/>
      </w:pPr>
      <w:r>
        <w:rPr>
          <w:rFonts w:ascii="Arial" w:hAnsi="Arial" w:cs="Arial" w:eastAsia="Arial"/>
          <w:b/>
          <w:color w:val="4F46E5"/>
          <w:sz w:val="17"/>
        </w:rPr>
        <w:t>بعد</w:t>
      </w:r>
    </w:p>
    <w:p>
      <w:pPr>
        <w:pStyle w:val="Heading2"/>
        <w:spacing w:before="100" w:after="80" w:line="276" w:lineRule="auto"/>
        <w:jc w:val="right"/>
        <w:bidi w:val="1"/>
        <w:keepNext w:val="1"/>
      </w:pPr>
      <w:r>
        <w:rPr>
          <w:rFonts w:ascii="Arial" w:hAnsi="Arial" w:cs="Arial" w:eastAsia="Arial"/>
          <w:b/>
          <w:color w:val="101218"/>
          <w:sz w:val="26"/>
        </w:rPr>
        <w:t>جهت بصری نسخه پیشنهادی</w:t>
      </w:r>
    </w:p>
    <w:p>
      <w:pPr>
        <w:spacing w:before="0" w:after="140" w:line="298" w:lineRule="auto"/>
        <w:jc w:val="right"/>
        <w:bidi w:val="1"/>
      </w:pPr>
      <w:r>
        <w:rPr>
          <w:rFonts w:ascii="Arial" w:hAnsi="Arial" w:cs="Arial" w:eastAsia="Arial"/>
          <w:b w:val="0"/>
          <w:color w:val="101218"/>
          <w:sz w:val="21"/>
        </w:rPr>
        <w:t>زبان پیشنهادی از خود محصول می‌آید: زمینه روشن یا جوهری، Iris برای برند، خطوط کم، تراکم کنترل‌شده و رنگ‌های مثبت و منفی فقط برای وضعیت مالی. صفحه اول همین گزارش نمونه اجرایی این جهت است.</w:t>
      </w:r>
    </w:p>
    <w:p>
      <w:pPr>
        <w:spacing w:before="0" w:after="80" w:line="283" w:lineRule="auto"/>
        <w:ind w:right="259" w:hanging="259"/>
        <w:jc w:val="right"/>
        <w:bidi w:val="1"/>
      </w:pPr>
      <w:r>
        <w:rPr>
          <w:rFonts w:ascii="Arial" w:hAnsi="Arial" w:cs="Arial" w:eastAsia="Arial"/>
          <w:b/>
          <w:color w:val="4F46E5"/>
          <w:sz w:val="20"/>
        </w:rPr>
        <w:t xml:space="preserve">•  </w:t>
      </w:r>
      <w:r>
        <w:rPr>
          <w:rFonts w:ascii="Arial" w:hAnsi="Arial" w:cs="Arial" w:eastAsia="Arial"/>
          <w:b w:val="0"/>
          <w:color w:val="101218"/>
          <w:sz w:val="20"/>
        </w:rPr>
        <w:t>جلد اطلاعاتی و متعادل با لوگو، عنوان تصمیم و metadata کوتاه</w:t>
      </w:r>
    </w:p>
    <w:p>
      <w:pPr>
        <w:spacing w:before="0" w:after="80" w:line="283" w:lineRule="auto"/>
        <w:ind w:right="259" w:hanging="259"/>
        <w:jc w:val="right"/>
        <w:bidi w:val="1"/>
      </w:pPr>
      <w:r>
        <w:rPr>
          <w:rFonts w:ascii="Arial" w:hAnsi="Arial" w:cs="Arial" w:eastAsia="Arial"/>
          <w:b/>
          <w:color w:val="4F46E5"/>
          <w:sz w:val="20"/>
        </w:rPr>
        <w:t xml:space="preserve">•  </w:t>
      </w:r>
      <w:r>
        <w:rPr>
          <w:rFonts w:ascii="Arial" w:hAnsi="Arial" w:cs="Arial" w:eastAsia="Arial"/>
          <w:b w:val="0"/>
          <w:color w:val="101218"/>
          <w:sz w:val="20"/>
        </w:rPr>
        <w:t>جدول‌های کم‌تراکم با header تیره، خطوط خاکستری روشن و عرض ستون متناسب</w:t>
      </w:r>
    </w:p>
    <w:p>
      <w:pPr>
        <w:spacing w:before="0" w:after="80" w:line="283" w:lineRule="auto"/>
        <w:ind w:right="259" w:hanging="259"/>
        <w:jc w:val="right"/>
        <w:bidi w:val="1"/>
      </w:pPr>
      <w:r>
        <w:rPr>
          <w:rFonts w:ascii="Arial" w:hAnsi="Arial" w:cs="Arial" w:eastAsia="Arial"/>
          <w:b/>
          <w:color w:val="4F46E5"/>
          <w:sz w:val="20"/>
        </w:rPr>
        <w:t xml:space="preserve">•  </w:t>
      </w:r>
      <w:r>
        <w:rPr>
          <w:rFonts w:ascii="Arial" w:hAnsi="Arial" w:cs="Arial" w:eastAsia="Arial"/>
          <w:b w:val="0"/>
          <w:color w:val="101218"/>
          <w:sz w:val="20"/>
        </w:rPr>
        <w:t>حذف شماره‌گذاری تزئینی از تیترها و استفاده از hierarchy واقعی Word</w:t>
      </w:r>
    </w:p>
    <w:p>
      <w:r>
        <w:br w:type="page"/>
      </w:r>
    </w:p>
    <w:p>
      <w:pPr>
        <w:spacing w:before="100" w:after="40" w:line="276" w:lineRule="auto"/>
        <w:jc w:val="right"/>
        <w:bidi w:val="1"/>
        <w:keepNext w:val="1"/>
      </w:pPr>
      <w:r>
        <w:rPr>
          <w:rFonts w:ascii="Arial" w:hAnsi="Arial" w:cs="Arial" w:eastAsia="Arial"/>
          <w:b/>
          <w:color w:val="4F46E5"/>
          <w:sz w:val="17"/>
        </w:rPr>
        <w:t>بعد</w:t>
      </w:r>
    </w:p>
    <w:p>
      <w:pPr>
        <w:pStyle w:val="Heading1"/>
        <w:spacing w:before="140" w:after="120" w:line="276" w:lineRule="auto"/>
        <w:jc w:val="right"/>
        <w:bidi w:val="1"/>
        <w:keepNext w:val="1"/>
      </w:pPr>
      <w:r>
        <w:rPr>
          <w:rFonts w:ascii="Arial" w:hAnsi="Arial" w:cs="Arial" w:eastAsia="Arial"/>
          <w:b/>
          <w:color w:val="101218"/>
          <w:sz w:val="40"/>
        </w:rPr>
        <w:t>معماری اطلاعات مالی پیشنهادی</w:t>
      </w:r>
    </w:p>
    <w:p>
      <w:pPr>
        <w:spacing w:before="0" w:after="140" w:line="298" w:lineRule="auto"/>
        <w:jc w:val="right"/>
        <w:bidi w:val="1"/>
      </w:pPr>
      <w:r>
        <w:rPr>
          <w:rFonts w:ascii="Arial" w:hAnsi="Arial" w:cs="Arial" w:eastAsia="Arial"/>
          <w:b w:val="0"/>
          <w:color w:val="101218"/>
          <w:sz w:val="21"/>
        </w:rPr>
        <w:t>قالب عمومی درباره اجزای نرم‌افزار سؤال می‌کند. قالب مالی باید علاوه بر آن، منبع حقیقت و ثابت‌هایی را ثبت کند که خطای آن‌ها به گزارش نادرست ثروت یا افشای داده منجر می‌شود.</w:t>
      </w:r>
    </w:p>
    <w:p>
      <w:pPr>
        <w:pStyle w:val="Heading2"/>
        <w:spacing w:before="100" w:after="80" w:line="276" w:lineRule="auto"/>
        <w:jc w:val="right"/>
        <w:bidi w:val="1"/>
        <w:keepNext w:val="1"/>
      </w:pPr>
      <w:r>
        <w:rPr>
          <w:rFonts w:ascii="Arial" w:hAnsi="Arial" w:cs="Arial" w:eastAsia="Arial"/>
          <w:b/>
          <w:color w:val="101218"/>
          <w:sz w:val="26"/>
        </w:rPr>
        <w:t>شش بخش اختصاصی مالی</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بخش</w:t>
            </w:r>
          </w:p>
        </w:tc>
        <w:tc>
          <w:tcPr>
            <w:tcW w:type="dxa" w:w="7776"/>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پرسش اجباری</w:t>
            </w:r>
          </w:p>
        </w:tc>
      </w:tr>
      <w:tr>
        <w:tc>
          <w:tcPr>
            <w:tcW w:type="dxa" w:w="5112"/>
            <w:shd w:fill="FFFFFF"/>
          </w:tcPr>
          <w:p>
            <w:pPr>
              <w:spacing w:before="0" w:after="0" w:line="276" w:lineRule="auto"/>
              <w:jc w:val="right"/>
              <w:bidi w:val="1"/>
            </w:pPr>
            <w:r>
              <w:rPr>
                <w:rFonts w:ascii="Arial" w:hAnsi="Arial" w:cs="Arial" w:eastAsia="Arial"/>
                <w:b w:val="0"/>
                <w:color w:val="101218"/>
                <w:sz w:val="18"/>
              </w:rPr>
              <w:t>ثابت‌های مالی</w:t>
            </w:r>
          </w:p>
        </w:tc>
        <w:tc>
          <w:tcPr>
            <w:tcW w:type="dxa" w:w="5112"/>
            <w:shd w:fill="FFFFFF"/>
          </w:tcPr>
          <w:p>
            <w:pPr>
              <w:spacing w:before="0" w:after="0" w:line="276" w:lineRule="auto"/>
              <w:jc w:val="right"/>
              <w:bidi w:val="1"/>
            </w:pPr>
            <w:r>
              <w:rPr>
                <w:rFonts w:ascii="Arial" w:hAnsi="Arial" w:cs="Arial" w:eastAsia="Arial"/>
                <w:b w:val="0"/>
                <w:color w:val="101218"/>
                <w:sz w:val="18"/>
              </w:rPr>
              <w:t>تراز هر سند، نبود ستون موجودی، اصلاح با سند معکوس، تفکیک هزینه و انتقال</w:t>
            </w:r>
          </w:p>
        </w:tc>
      </w:tr>
      <w:tr>
        <w:tc>
          <w:tcPr>
            <w:tcW w:type="dxa" w:w="5112"/>
            <w:shd w:fill="F5F6F8"/>
          </w:tcPr>
          <w:p>
            <w:pPr>
              <w:spacing w:before="0" w:after="0" w:line="276" w:lineRule="auto"/>
              <w:jc w:val="right"/>
              <w:bidi w:val="1"/>
            </w:pPr>
            <w:r>
              <w:rPr>
                <w:rFonts w:ascii="Arial" w:hAnsi="Arial" w:cs="Arial" w:eastAsia="Arial"/>
                <w:b w:val="0"/>
                <w:color w:val="101218"/>
                <w:sz w:val="18"/>
              </w:rPr>
              <w:t>منشأ ارزش</w:t>
            </w:r>
          </w:p>
        </w:tc>
        <w:tc>
          <w:tcPr>
            <w:tcW w:type="dxa" w:w="5112"/>
            <w:shd w:fill="F5F6F8"/>
          </w:tcPr>
          <w:p>
            <w:pPr>
              <w:spacing w:before="0" w:after="0" w:line="276" w:lineRule="auto"/>
              <w:jc w:val="right"/>
              <w:bidi w:val="1"/>
            </w:pPr>
            <w:r>
              <w:rPr>
                <w:rFonts w:ascii="Arial" w:hAnsi="Arial" w:cs="Arial" w:eastAsia="Arial"/>
                <w:b w:val="0"/>
                <w:color w:val="101218"/>
                <w:sz w:val="18"/>
              </w:rPr>
              <w:t>منبع نرخ، زمان مؤثر، ارز پایه، snapshot ارزش‌گذاری و سیاست stale data</w:t>
            </w:r>
          </w:p>
        </w:tc>
      </w:tr>
      <w:tr>
        <w:tc>
          <w:tcPr>
            <w:tcW w:type="dxa" w:w="5112"/>
            <w:shd w:fill="FFFFFF"/>
          </w:tcPr>
          <w:p>
            <w:pPr>
              <w:spacing w:before="0" w:after="0" w:line="276" w:lineRule="auto"/>
              <w:jc w:val="right"/>
              <w:bidi w:val="1"/>
            </w:pPr>
            <w:r>
              <w:rPr>
                <w:rFonts w:ascii="Arial" w:hAnsi="Arial" w:cs="Arial" w:eastAsia="Arial"/>
                <w:b w:val="0"/>
                <w:color w:val="101218"/>
                <w:sz w:val="18"/>
              </w:rPr>
              <w:t>مرز ثبت و برنامه</w:t>
            </w:r>
          </w:p>
        </w:tc>
        <w:tc>
          <w:tcPr>
            <w:tcW w:type="dxa" w:w="5112"/>
            <w:shd w:fill="FFFFFF"/>
          </w:tcPr>
          <w:p>
            <w:pPr>
              <w:spacing w:before="0" w:after="0" w:line="276" w:lineRule="auto"/>
              <w:jc w:val="right"/>
              <w:bidi w:val="1"/>
            </w:pPr>
            <w:r>
              <w:rPr>
                <w:rFonts w:ascii="Arial" w:hAnsi="Arial" w:cs="Arial" w:eastAsia="Arial"/>
                <w:b w:val="0"/>
                <w:color w:val="101218"/>
                <w:sz w:val="18"/>
              </w:rPr>
              <w:t>رویداد برنامه‌ریزی‌شده تا زمان اجرا نباید دفترکل را تغییر دهد</w:t>
            </w:r>
          </w:p>
        </w:tc>
      </w:tr>
      <w:tr>
        <w:tc>
          <w:tcPr>
            <w:tcW w:type="dxa" w:w="5112"/>
            <w:shd w:fill="F5F6F8"/>
          </w:tcPr>
          <w:p>
            <w:pPr>
              <w:spacing w:before="0" w:after="0" w:line="276" w:lineRule="auto"/>
              <w:jc w:val="right"/>
              <w:bidi w:val="1"/>
            </w:pPr>
            <w:r>
              <w:rPr>
                <w:rFonts w:ascii="Arial" w:hAnsi="Arial" w:cs="Arial" w:eastAsia="Arial"/>
                <w:b w:val="0"/>
                <w:color w:val="101218"/>
                <w:sz w:val="18"/>
              </w:rPr>
              <w:t>تطبیق و بازسازی</w:t>
            </w:r>
          </w:p>
        </w:tc>
        <w:tc>
          <w:tcPr>
            <w:tcW w:type="dxa" w:w="5112"/>
            <w:shd w:fill="F5F6F8"/>
          </w:tcPr>
          <w:p>
            <w:pPr>
              <w:spacing w:before="0" w:after="0" w:line="276" w:lineRule="auto"/>
              <w:jc w:val="right"/>
              <w:bidi w:val="1"/>
            </w:pPr>
            <w:r>
              <w:rPr>
                <w:rFonts w:ascii="Arial" w:hAnsi="Arial" w:cs="Arial" w:eastAsia="Arial"/>
                <w:b w:val="0"/>
                <w:color w:val="101218"/>
                <w:sz w:val="18"/>
              </w:rPr>
              <w:t>بازسازی مانده از postings، تشخیص اختلاف و شواهد recovery</w:t>
            </w:r>
          </w:p>
        </w:tc>
      </w:tr>
      <w:tr>
        <w:tc>
          <w:tcPr>
            <w:tcW w:type="dxa" w:w="5112"/>
            <w:shd w:fill="FFFFFF"/>
          </w:tcPr>
          <w:p>
            <w:pPr>
              <w:spacing w:before="0" w:after="0" w:line="276" w:lineRule="auto"/>
              <w:jc w:val="right"/>
              <w:bidi w:val="1"/>
            </w:pPr>
            <w:r>
              <w:rPr>
                <w:rFonts w:ascii="Arial" w:hAnsi="Arial" w:cs="Arial" w:eastAsia="Arial"/>
                <w:b w:val="0"/>
                <w:color w:val="101218"/>
                <w:sz w:val="18"/>
              </w:rPr>
              <w:t>جداسازی کاربر</w:t>
            </w:r>
          </w:p>
        </w:tc>
        <w:tc>
          <w:tcPr>
            <w:tcW w:type="dxa" w:w="5112"/>
            <w:shd w:fill="FFFFFF"/>
          </w:tcPr>
          <w:p>
            <w:pPr>
              <w:spacing w:before="0" w:after="0" w:line="276" w:lineRule="auto"/>
              <w:jc w:val="right"/>
              <w:bidi w:val="1"/>
            </w:pPr>
            <w:r>
              <w:rPr>
                <w:rFonts w:ascii="Arial" w:hAnsi="Arial" w:cs="Arial" w:eastAsia="Arial"/>
                <w:b w:val="0"/>
                <w:color w:val="101218"/>
                <w:sz w:val="18"/>
              </w:rPr>
              <w:t>مالکیت ردیف، RLS، tenant context و مسیرهای دسترسی مدیریتی</w:t>
            </w:r>
          </w:p>
        </w:tc>
      </w:tr>
      <w:tr>
        <w:tc>
          <w:tcPr>
            <w:tcW w:type="dxa" w:w="5112"/>
            <w:shd w:fill="F5F6F8"/>
          </w:tcPr>
          <w:p>
            <w:pPr>
              <w:spacing w:before="0" w:after="0" w:line="276" w:lineRule="auto"/>
              <w:jc w:val="right"/>
              <w:bidi w:val="1"/>
            </w:pPr>
            <w:r>
              <w:rPr>
                <w:rFonts w:ascii="Arial" w:hAnsi="Arial" w:cs="Arial" w:eastAsia="Arial"/>
                <w:b w:val="0"/>
                <w:color w:val="101218"/>
                <w:sz w:val="18"/>
              </w:rPr>
              <w:t>اعتماد عملیاتی</w:t>
            </w:r>
          </w:p>
        </w:tc>
        <w:tc>
          <w:tcPr>
            <w:tcW w:type="dxa" w:w="5112"/>
            <w:shd w:fill="F5F6F8"/>
          </w:tcPr>
          <w:p>
            <w:pPr>
              <w:spacing w:before="0" w:after="0" w:line="276" w:lineRule="auto"/>
              <w:jc w:val="right"/>
              <w:bidi w:val="1"/>
            </w:pPr>
            <w:r>
              <w:rPr>
                <w:rFonts w:ascii="Arial" w:hAnsi="Arial" w:cs="Arial" w:eastAsia="Arial"/>
                <w:b w:val="0"/>
                <w:color w:val="101218"/>
                <w:sz w:val="18"/>
              </w:rPr>
              <w:t>RPO، RTO، آزمون restore، کامل بودن قیمت و هشدار شکست کنترل</w:t>
            </w:r>
          </w:p>
        </w:tc>
      </w:tr>
    </w:tbl>
    <w:p>
      <w:pPr>
        <w:spacing w:before="0" w:after="40" w:line="276" w:lineRule="auto"/>
      </w:pPr>
    </w:p>
    <w:p>
      <w:pPr>
        <w:pStyle w:val="Heading2"/>
        <w:spacing w:before="100" w:after="80" w:line="276" w:lineRule="auto"/>
        <w:jc w:val="right"/>
        <w:bidi w:val="1"/>
        <w:keepNext w:val="1"/>
      </w:pPr>
      <w:r>
        <w:rPr>
          <w:rFonts w:ascii="Arial" w:hAnsi="Arial" w:cs="Arial" w:eastAsia="Arial"/>
          <w:b/>
          <w:color w:val="101218"/>
          <w:sz w:val="26"/>
        </w:rPr>
        <w:t>نقشه جریان تصمیم</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376"/>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ورودی</w:t>
            </w:r>
          </w:p>
        </w:tc>
        <w:tc>
          <w:tcPr>
            <w:tcW w:type="dxa" w:w="2448"/>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اعتبارسنجی</w:t>
            </w:r>
          </w:p>
        </w:tc>
        <w:tc>
          <w:tcPr>
            <w:tcW w:type="dxa" w:w="2520"/>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هسته مالی</w:t>
            </w:r>
          </w:p>
        </w:tc>
        <w:tc>
          <w:tcPr>
            <w:tcW w:type="dxa" w:w="2880"/>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ذخیره و شواهد</w:t>
            </w:r>
          </w:p>
        </w:tc>
      </w:tr>
      <w:tr>
        <w:tc>
          <w:tcPr>
            <w:tcW w:type="dxa" w:w="2556"/>
            <w:shd w:fill="FFFFFF"/>
          </w:tcPr>
          <w:p>
            <w:pPr>
              <w:spacing w:before="0" w:after="0" w:line="276" w:lineRule="auto"/>
              <w:jc w:val="right"/>
              <w:bidi w:val="1"/>
            </w:pPr>
            <w:r>
              <w:rPr>
                <w:rFonts w:ascii="Arial" w:hAnsi="Arial" w:cs="Arial" w:eastAsia="Arial"/>
                <w:b w:val="0"/>
                <w:color w:val="101218"/>
                <w:sz w:val="17"/>
              </w:rPr>
              <w:t>فرم و Server Action</w:t>
            </w:r>
          </w:p>
        </w:tc>
        <w:tc>
          <w:tcPr>
            <w:tcW w:type="dxa" w:w="2556"/>
            <w:shd w:fill="FFFFFF"/>
          </w:tcPr>
          <w:p>
            <w:pPr>
              <w:spacing w:before="0" w:after="0" w:line="276" w:lineRule="auto"/>
              <w:jc w:val="right"/>
              <w:bidi w:val="1"/>
            </w:pPr>
            <w:r>
              <w:rPr>
                <w:rFonts w:ascii="Arial" w:hAnsi="Arial" w:cs="Arial" w:eastAsia="Arial"/>
                <w:b w:val="0"/>
                <w:color w:val="101218"/>
                <w:sz w:val="17"/>
              </w:rPr>
              <w:t>کاربر، tenant، واحد و زمان</w:t>
            </w:r>
          </w:p>
        </w:tc>
        <w:tc>
          <w:tcPr>
            <w:tcW w:type="dxa" w:w="2556"/>
            <w:shd w:fill="FFFFFF"/>
          </w:tcPr>
          <w:p>
            <w:pPr>
              <w:spacing w:before="0" w:after="0" w:line="276" w:lineRule="auto"/>
              <w:jc w:val="right"/>
              <w:bidi w:val="1"/>
            </w:pPr>
            <w:r>
              <w:rPr>
                <w:rFonts w:ascii="Arial" w:hAnsi="Arial" w:cs="Arial" w:eastAsia="Arial"/>
                <w:b w:val="0"/>
                <w:color w:val="101218"/>
                <w:sz w:val="17"/>
              </w:rPr>
              <w:t>قواعد Decimal، FIFO و تراز</w:t>
            </w:r>
          </w:p>
        </w:tc>
        <w:tc>
          <w:tcPr>
            <w:tcW w:type="dxa" w:w="2556"/>
            <w:shd w:fill="FFFFFF"/>
          </w:tcPr>
          <w:p>
            <w:pPr>
              <w:spacing w:before="0" w:after="0" w:line="276" w:lineRule="auto"/>
              <w:jc w:val="right"/>
              <w:bidi w:val="1"/>
            </w:pPr>
            <w:r>
              <w:rPr>
                <w:rFonts w:ascii="Arial" w:hAnsi="Arial" w:cs="Arial" w:eastAsia="Arial"/>
                <w:b w:val="0"/>
                <w:color w:val="101218"/>
                <w:sz w:val="17"/>
              </w:rPr>
              <w:t>Journal Entry، Posting و Audit Log</w:t>
            </w:r>
          </w:p>
        </w:tc>
      </w:tr>
      <w:tr>
        <w:tc>
          <w:tcPr>
            <w:tcW w:type="dxa" w:w="2556"/>
            <w:shd w:fill="F5F6F8"/>
          </w:tcPr>
          <w:p>
            <w:pPr>
              <w:spacing w:before="0" w:after="0" w:line="276" w:lineRule="auto"/>
              <w:jc w:val="right"/>
              <w:bidi w:val="1"/>
            </w:pPr>
            <w:r>
              <w:rPr>
                <w:rFonts w:ascii="Arial" w:hAnsi="Arial" w:cs="Arial" w:eastAsia="Arial"/>
                <w:b w:val="0"/>
                <w:color w:val="101218"/>
                <w:sz w:val="17"/>
              </w:rPr>
              <w:t>قیمت و نرخ ارز</w:t>
            </w:r>
          </w:p>
        </w:tc>
        <w:tc>
          <w:tcPr>
            <w:tcW w:type="dxa" w:w="2556"/>
            <w:shd w:fill="F5F6F8"/>
          </w:tcPr>
          <w:p>
            <w:pPr>
              <w:spacing w:before="0" w:after="0" w:line="276" w:lineRule="auto"/>
              <w:jc w:val="right"/>
              <w:bidi w:val="1"/>
            </w:pPr>
            <w:r>
              <w:rPr>
                <w:rFonts w:ascii="Arial" w:hAnsi="Arial" w:cs="Arial" w:eastAsia="Arial"/>
                <w:b w:val="0"/>
                <w:color w:val="101218"/>
                <w:sz w:val="17"/>
              </w:rPr>
              <w:t>منبع، تاریخ و تازگی</w:t>
            </w:r>
          </w:p>
        </w:tc>
        <w:tc>
          <w:tcPr>
            <w:tcW w:type="dxa" w:w="2556"/>
            <w:shd w:fill="F5F6F8"/>
          </w:tcPr>
          <w:p>
            <w:pPr>
              <w:spacing w:before="0" w:after="0" w:line="276" w:lineRule="auto"/>
              <w:jc w:val="right"/>
              <w:bidi w:val="1"/>
            </w:pPr>
            <w:r>
              <w:rPr>
                <w:rFonts w:ascii="Arial" w:hAnsi="Arial" w:cs="Arial" w:eastAsia="Arial"/>
                <w:b w:val="0"/>
                <w:color w:val="101218"/>
                <w:sz w:val="17"/>
              </w:rPr>
              <w:t>ارزش‌گذاری و تبدیل</w:t>
            </w:r>
          </w:p>
        </w:tc>
        <w:tc>
          <w:tcPr>
            <w:tcW w:type="dxa" w:w="2556"/>
            <w:shd w:fill="F5F6F8"/>
          </w:tcPr>
          <w:p>
            <w:pPr>
              <w:spacing w:before="0" w:after="0" w:line="276" w:lineRule="auto"/>
              <w:jc w:val="right"/>
              <w:bidi w:val="1"/>
            </w:pPr>
            <w:r>
              <w:rPr>
                <w:rFonts w:ascii="Arial" w:hAnsi="Arial" w:cs="Arial" w:eastAsia="Arial"/>
                <w:b w:val="0"/>
                <w:color w:val="101218"/>
                <w:sz w:val="17"/>
              </w:rPr>
              <w:t>Price Cache و Valuation Snapshot</w:t>
            </w:r>
          </w:p>
        </w:tc>
      </w:tr>
      <w:tr>
        <w:tc>
          <w:tcPr>
            <w:tcW w:type="dxa" w:w="2556"/>
            <w:shd w:fill="FFFFFF"/>
          </w:tcPr>
          <w:p>
            <w:pPr>
              <w:spacing w:before="0" w:after="0" w:line="276" w:lineRule="auto"/>
              <w:jc w:val="right"/>
              <w:bidi w:val="1"/>
            </w:pPr>
            <w:r>
              <w:rPr>
                <w:rFonts w:ascii="Arial" w:hAnsi="Arial" w:cs="Arial" w:eastAsia="Arial"/>
                <w:b w:val="0"/>
                <w:color w:val="101218"/>
                <w:sz w:val="17"/>
              </w:rPr>
              <w:t>برنامه و تعهد</w:t>
            </w:r>
          </w:p>
        </w:tc>
        <w:tc>
          <w:tcPr>
            <w:tcW w:type="dxa" w:w="2556"/>
            <w:shd w:fill="FFFFFF"/>
          </w:tcPr>
          <w:p>
            <w:pPr>
              <w:spacing w:before="0" w:after="0" w:line="276" w:lineRule="auto"/>
              <w:jc w:val="right"/>
              <w:bidi w:val="1"/>
            </w:pPr>
            <w:r>
              <w:rPr>
                <w:rFonts w:ascii="Arial" w:hAnsi="Arial" w:cs="Arial" w:eastAsia="Arial"/>
                <w:b w:val="0"/>
                <w:color w:val="101218"/>
                <w:sz w:val="17"/>
              </w:rPr>
              <w:t>وضعیت و idempotency</w:t>
            </w:r>
          </w:p>
        </w:tc>
        <w:tc>
          <w:tcPr>
            <w:tcW w:type="dxa" w:w="2556"/>
            <w:shd w:fill="FFFFFF"/>
          </w:tcPr>
          <w:p>
            <w:pPr>
              <w:spacing w:before="0" w:after="0" w:line="276" w:lineRule="auto"/>
              <w:jc w:val="right"/>
              <w:bidi w:val="1"/>
            </w:pPr>
            <w:r>
              <w:rPr>
                <w:rFonts w:ascii="Arial" w:hAnsi="Arial" w:cs="Arial" w:eastAsia="Arial"/>
                <w:b w:val="0"/>
                <w:color w:val="101218"/>
                <w:sz w:val="17"/>
              </w:rPr>
              <w:t>اجرا در موعد</w:t>
            </w:r>
          </w:p>
        </w:tc>
        <w:tc>
          <w:tcPr>
            <w:tcW w:type="dxa" w:w="2556"/>
            <w:shd w:fill="FFFFFF"/>
          </w:tcPr>
          <w:p>
            <w:pPr>
              <w:spacing w:before="0" w:after="0" w:line="276" w:lineRule="auto"/>
              <w:jc w:val="right"/>
              <w:bidi w:val="1"/>
            </w:pPr>
            <w:r>
              <w:rPr>
                <w:rFonts w:ascii="Arial" w:hAnsi="Arial" w:cs="Arial" w:eastAsia="Arial"/>
                <w:b w:val="0"/>
                <w:color w:val="101218"/>
                <w:sz w:val="17"/>
              </w:rPr>
              <w:t>رویداد برنامه و سند اجرای یکتا</w:t>
            </w:r>
          </w:p>
        </w:tc>
      </w:tr>
    </w:tbl>
    <w:p>
      <w:pPr>
        <w:spacing w:before="0" w:after="40" w:line="276" w:lineRule="auto"/>
      </w:pPr>
    </w:p>
    <w:p>
      <w:pPr>
        <w:spacing w:before="0" w:after="140" w:line="298" w:lineRule="auto"/>
        <w:jc w:val="right"/>
        <w:bidi w:val="1"/>
      </w:pPr>
      <w:r>
        <w:rPr>
          <w:rFonts w:ascii="Arial" w:hAnsi="Arial" w:cs="Arial" w:eastAsia="Arial"/>
          <w:b/>
          <w:color w:val="101218"/>
          <w:sz w:val="21"/>
        </w:rPr>
        <w:t xml:space="preserve">اصل راهنما  </w:t>
      </w:r>
      <w:r>
        <w:rPr>
          <w:rFonts w:ascii="Arial" w:hAnsi="Arial" w:cs="Arial" w:eastAsia="Arial"/>
          <w:b w:val="0"/>
          <w:color w:val="101218"/>
          <w:sz w:val="21"/>
        </w:rPr>
      </w:r>
    </w:p>
    <w:p>
      <w:pPr>
        <w:spacing w:before="0" w:after="140" w:line="298" w:lineRule="auto"/>
        <w:jc w:val="right"/>
        <w:bidi w:val="1"/>
      </w:pPr>
      <w:r>
        <w:rPr>
          <w:rFonts w:ascii="Arial" w:hAnsi="Arial" w:cs="Arial" w:eastAsia="Arial"/>
          <w:b w:val="0"/>
          <w:color w:val="101218"/>
          <w:sz w:val="21"/>
        </w:rPr>
        <w:t>هر عددی که در رابط نمایش داده می‌شود باید به رکورد منبع، ارز، زمان مؤثر و مسیر محاسبه قابل ردیابی باشد. در مسیر نوشتن، اثر جانبی فقط پس از ثبت حالت پایدار و بررسی idempotency مجاز است.</w:t>
      </w:r>
    </w:p>
    <w:p>
      <w:r>
        <w:br w:type="page"/>
      </w:r>
    </w:p>
    <w:p>
      <w:pPr>
        <w:spacing w:before="100" w:after="40" w:line="276" w:lineRule="auto"/>
        <w:jc w:val="right"/>
        <w:bidi w:val="1"/>
        <w:keepNext w:val="1"/>
      </w:pPr>
      <w:r>
        <w:rPr>
          <w:rFonts w:ascii="Arial" w:hAnsi="Arial" w:cs="Arial" w:eastAsia="Arial"/>
          <w:b/>
          <w:color w:val="4F46E5"/>
          <w:sz w:val="17"/>
        </w:rPr>
        <w:t>AUDIT</w:t>
      </w:r>
    </w:p>
    <w:p>
      <w:pPr>
        <w:pStyle w:val="Heading1"/>
        <w:spacing w:before="140" w:after="120" w:line="276" w:lineRule="auto"/>
        <w:jc w:val="right"/>
        <w:bidi w:val="1"/>
        <w:keepNext w:val="1"/>
      </w:pPr>
      <w:r>
        <w:rPr>
          <w:rFonts w:ascii="Arial" w:hAnsi="Arial" w:cs="Arial" w:eastAsia="Arial"/>
          <w:b/>
          <w:color w:val="101218"/>
          <w:sz w:val="40"/>
        </w:rPr>
        <w:t>کنترل‌های امنیت و داده</w:t>
      </w:r>
    </w:p>
    <w:p>
      <w:pPr>
        <w:spacing w:before="0" w:after="140" w:line="298" w:lineRule="auto"/>
        <w:jc w:val="right"/>
        <w:bidi w:val="1"/>
      </w:pPr>
      <w:r>
        <w:rPr>
          <w:rFonts w:ascii="Arial" w:hAnsi="Arial" w:cs="Arial" w:eastAsia="Arial"/>
          <w:b w:val="0"/>
          <w:color w:val="101218"/>
          <w:sz w:val="21"/>
        </w:rPr>
        <w:t>اسناد مخزن استفاده از Supabase Auth، PostgreSQL و RLS را نشان می‌دهند. نسخه مالی قالب باید کنترل‌ها را به شکل قابل اثبات ثبت کند، نه با عبارت‌های کلی مانند امنیت بررسی شود.</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008"/>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اولویت</w:t>
            </w:r>
          </w:p>
        </w:tc>
        <w:tc>
          <w:tcPr>
            <w:tcW w:type="dxa" w:w="2088"/>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کنترل</w:t>
            </w:r>
          </w:p>
        </w:tc>
        <w:tc>
          <w:tcPr>
            <w:tcW w:type="dxa" w:w="4104"/>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معیار طراحی</w:t>
            </w:r>
          </w:p>
        </w:tc>
        <w:tc>
          <w:tcPr>
            <w:tcW w:type="dxa" w:w="3024"/>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مدرک پذیرش</w:t>
            </w:r>
          </w:p>
        </w:tc>
      </w:tr>
      <w:tr>
        <w:tc>
          <w:tcPr>
            <w:tcW w:type="dxa" w:w="2556"/>
            <w:shd w:fill="FFFFFF"/>
          </w:tcPr>
          <w:p>
            <w:pPr>
              <w:spacing w:before="0" w:after="0" w:line="276" w:lineRule="auto"/>
              <w:jc w:val="right"/>
              <w:bidi w:val="1"/>
            </w:pPr>
            <w:r>
              <w:rPr>
                <w:rFonts w:ascii="Arial" w:hAnsi="Arial" w:cs="Arial" w:eastAsia="Arial"/>
                <w:b w:val="0"/>
                <w:color w:val="101218"/>
                <w:sz w:val="16"/>
              </w:rPr>
              <w:t>P0</w:t>
            </w:r>
          </w:p>
        </w:tc>
        <w:tc>
          <w:tcPr>
            <w:tcW w:type="dxa" w:w="2556"/>
            <w:shd w:fill="FFFFFF"/>
          </w:tcPr>
          <w:p>
            <w:pPr>
              <w:spacing w:before="0" w:after="0" w:line="276" w:lineRule="auto"/>
              <w:jc w:val="right"/>
              <w:bidi w:val="1"/>
            </w:pPr>
            <w:r>
              <w:rPr>
                <w:rFonts w:ascii="Arial" w:hAnsi="Arial" w:cs="Arial" w:eastAsia="Arial"/>
                <w:b w:val="0"/>
                <w:color w:val="101218"/>
                <w:sz w:val="16"/>
              </w:rPr>
              <w:t>جداسازی داده کاربر</w:t>
            </w:r>
          </w:p>
        </w:tc>
        <w:tc>
          <w:tcPr>
            <w:tcW w:type="dxa" w:w="2556"/>
            <w:shd w:fill="FFFFFF"/>
          </w:tcPr>
          <w:p>
            <w:pPr>
              <w:spacing w:before="0" w:after="0" w:line="276" w:lineRule="auto"/>
              <w:jc w:val="right"/>
              <w:bidi w:val="1"/>
            </w:pPr>
            <w:r>
              <w:rPr>
                <w:rFonts w:ascii="Arial" w:hAnsi="Arial" w:cs="Arial" w:eastAsia="Arial"/>
                <w:b w:val="0"/>
                <w:color w:val="101218"/>
                <w:sz w:val="16"/>
              </w:rPr>
              <w:t>هر policy به authenticated و شرط مالکیت با auth uid محدود باشد</w:t>
            </w:r>
          </w:p>
        </w:tc>
        <w:tc>
          <w:tcPr>
            <w:tcW w:type="dxa" w:w="2556"/>
            <w:shd w:fill="FFFFFF"/>
          </w:tcPr>
          <w:p>
            <w:pPr>
              <w:spacing w:before="0" w:after="0" w:line="276" w:lineRule="auto"/>
              <w:jc w:val="right"/>
              <w:bidi w:val="1"/>
            </w:pPr>
            <w:r>
              <w:rPr>
                <w:rFonts w:ascii="Arial" w:hAnsi="Arial" w:cs="Arial" w:eastAsia="Arial"/>
                <w:b w:val="0"/>
                <w:color w:val="101218"/>
                <w:sz w:val="16"/>
              </w:rPr>
              <w:t>آزمون دو کاربر و query منفی</w:t>
            </w:r>
          </w:p>
        </w:tc>
      </w:tr>
      <w:tr>
        <w:tc>
          <w:tcPr>
            <w:tcW w:type="dxa" w:w="2556"/>
            <w:shd w:fill="F5F6F8"/>
          </w:tcPr>
          <w:p>
            <w:pPr>
              <w:spacing w:before="0" w:after="0" w:line="276" w:lineRule="auto"/>
              <w:jc w:val="right"/>
              <w:bidi w:val="1"/>
            </w:pPr>
            <w:r>
              <w:rPr>
                <w:rFonts w:ascii="Arial" w:hAnsi="Arial" w:cs="Arial" w:eastAsia="Arial"/>
                <w:b w:val="0"/>
                <w:color w:val="101218"/>
                <w:sz w:val="16"/>
              </w:rPr>
              <w:t>P0</w:t>
            </w:r>
          </w:p>
        </w:tc>
        <w:tc>
          <w:tcPr>
            <w:tcW w:type="dxa" w:w="2556"/>
            <w:shd w:fill="F5F6F8"/>
          </w:tcPr>
          <w:p>
            <w:pPr>
              <w:spacing w:before="0" w:after="0" w:line="276" w:lineRule="auto"/>
              <w:jc w:val="right"/>
              <w:bidi w:val="1"/>
            </w:pPr>
            <w:r>
              <w:rPr>
                <w:rFonts w:ascii="Arial" w:hAnsi="Arial" w:cs="Arial" w:eastAsia="Arial"/>
                <w:b w:val="0"/>
                <w:color w:val="101218"/>
                <w:sz w:val="16"/>
              </w:rPr>
              <w:t>کلیدهای privileged</w:t>
            </w:r>
          </w:p>
        </w:tc>
        <w:tc>
          <w:tcPr>
            <w:tcW w:type="dxa" w:w="2556"/>
            <w:shd w:fill="F5F6F8"/>
          </w:tcPr>
          <w:p>
            <w:pPr>
              <w:spacing w:before="0" w:after="0" w:line="276" w:lineRule="auto"/>
              <w:jc w:val="right"/>
              <w:bidi w:val="1"/>
            </w:pPr>
            <w:r>
              <w:rPr>
                <w:rFonts w:ascii="Arial" w:hAnsi="Arial" w:cs="Arial" w:eastAsia="Arial"/>
                <w:b w:val="0"/>
                <w:color w:val="101218"/>
                <w:sz w:val="16"/>
              </w:rPr>
              <w:t>secret یا service role هرگز در مرورگر قرار نگیرد</w:t>
            </w:r>
          </w:p>
        </w:tc>
        <w:tc>
          <w:tcPr>
            <w:tcW w:type="dxa" w:w="2556"/>
            <w:shd w:fill="F5F6F8"/>
          </w:tcPr>
          <w:p>
            <w:pPr>
              <w:spacing w:before="0" w:after="0" w:line="276" w:lineRule="auto"/>
              <w:jc w:val="right"/>
              <w:bidi w:val="1"/>
            </w:pPr>
            <w:r>
              <w:rPr>
                <w:rFonts w:ascii="Arial" w:hAnsi="Arial" w:cs="Arial" w:eastAsia="Arial"/>
                <w:b w:val="0"/>
                <w:color w:val="101218"/>
                <w:sz w:val="16"/>
              </w:rPr>
              <w:t>بررسی bundle و متغیرهای محیطی</w:t>
            </w:r>
          </w:p>
        </w:tc>
      </w:tr>
      <w:tr>
        <w:tc>
          <w:tcPr>
            <w:tcW w:type="dxa" w:w="2556"/>
            <w:shd w:fill="FFFFFF"/>
          </w:tcPr>
          <w:p>
            <w:pPr>
              <w:spacing w:before="0" w:after="0" w:line="276" w:lineRule="auto"/>
              <w:jc w:val="right"/>
              <w:bidi w:val="1"/>
            </w:pPr>
            <w:r>
              <w:rPr>
                <w:rFonts w:ascii="Arial" w:hAnsi="Arial" w:cs="Arial" w:eastAsia="Arial"/>
                <w:b w:val="0"/>
                <w:color w:val="101218"/>
                <w:sz w:val="16"/>
              </w:rPr>
              <w:t>P0</w:t>
            </w:r>
          </w:p>
        </w:tc>
        <w:tc>
          <w:tcPr>
            <w:tcW w:type="dxa" w:w="2556"/>
            <w:shd w:fill="FFFFFF"/>
          </w:tcPr>
          <w:p>
            <w:pPr>
              <w:spacing w:before="0" w:after="0" w:line="276" w:lineRule="auto"/>
              <w:jc w:val="right"/>
              <w:bidi w:val="1"/>
            </w:pPr>
            <w:r>
              <w:rPr>
                <w:rFonts w:ascii="Arial" w:hAnsi="Arial" w:cs="Arial" w:eastAsia="Arial"/>
                <w:b w:val="0"/>
                <w:color w:val="101218"/>
                <w:sz w:val="16"/>
              </w:rPr>
              <w:t>توابع privileged</w:t>
            </w:r>
          </w:p>
        </w:tc>
        <w:tc>
          <w:tcPr>
            <w:tcW w:type="dxa" w:w="2556"/>
            <w:shd w:fill="FFFFFF"/>
          </w:tcPr>
          <w:p>
            <w:pPr>
              <w:spacing w:before="0" w:after="0" w:line="276" w:lineRule="auto"/>
              <w:jc w:val="right"/>
              <w:bidi w:val="1"/>
            </w:pPr>
            <w:r>
              <w:rPr>
                <w:rFonts w:ascii="Arial" w:hAnsi="Arial" w:cs="Arial" w:eastAsia="Arial"/>
                <w:b w:val="0"/>
                <w:color w:val="101218"/>
                <w:sz w:val="16"/>
              </w:rPr>
              <w:t>SECURITY DEFINER فقط در schema غیرعمومی با revoke و کنترل هویت</w:t>
            </w:r>
          </w:p>
        </w:tc>
        <w:tc>
          <w:tcPr>
            <w:tcW w:type="dxa" w:w="2556"/>
            <w:shd w:fill="FFFFFF"/>
          </w:tcPr>
          <w:p>
            <w:pPr>
              <w:spacing w:before="0" w:after="0" w:line="276" w:lineRule="auto"/>
              <w:jc w:val="right"/>
              <w:bidi w:val="1"/>
            </w:pPr>
            <w:r>
              <w:rPr>
                <w:rFonts w:ascii="Arial" w:hAnsi="Arial" w:cs="Arial" w:eastAsia="Arial"/>
                <w:b w:val="0"/>
                <w:color w:val="101218"/>
                <w:sz w:val="16"/>
              </w:rPr>
              <w:t>فهرست تابع و grant</w:t>
            </w:r>
          </w:p>
        </w:tc>
      </w:tr>
      <w:tr>
        <w:tc>
          <w:tcPr>
            <w:tcW w:type="dxa" w:w="2556"/>
            <w:shd w:fill="F5F6F8"/>
          </w:tcPr>
          <w:p>
            <w:pPr>
              <w:spacing w:before="0" w:after="0" w:line="276" w:lineRule="auto"/>
              <w:jc w:val="right"/>
              <w:bidi w:val="1"/>
            </w:pPr>
            <w:r>
              <w:rPr>
                <w:rFonts w:ascii="Arial" w:hAnsi="Arial" w:cs="Arial" w:eastAsia="Arial"/>
                <w:b w:val="0"/>
                <w:color w:val="101218"/>
                <w:sz w:val="16"/>
              </w:rPr>
              <w:t>P1</w:t>
            </w:r>
          </w:p>
        </w:tc>
        <w:tc>
          <w:tcPr>
            <w:tcW w:type="dxa" w:w="2556"/>
            <w:shd w:fill="F5F6F8"/>
          </w:tcPr>
          <w:p>
            <w:pPr>
              <w:spacing w:before="0" w:after="0" w:line="276" w:lineRule="auto"/>
              <w:jc w:val="right"/>
              <w:bidi w:val="1"/>
            </w:pPr>
            <w:r>
              <w:rPr>
                <w:rFonts w:ascii="Arial" w:hAnsi="Arial" w:cs="Arial" w:eastAsia="Arial"/>
                <w:b w:val="0"/>
                <w:color w:val="101218"/>
                <w:sz w:val="16"/>
              </w:rPr>
              <w:t>جلسه‌های حساس</w:t>
            </w:r>
          </w:p>
        </w:tc>
        <w:tc>
          <w:tcPr>
            <w:tcW w:type="dxa" w:w="2556"/>
            <w:shd w:fill="F5F6F8"/>
          </w:tcPr>
          <w:p>
            <w:pPr>
              <w:spacing w:before="0" w:after="0" w:line="276" w:lineRule="auto"/>
              <w:jc w:val="right"/>
              <w:bidi w:val="1"/>
            </w:pPr>
            <w:r>
              <w:rPr>
                <w:rFonts w:ascii="Arial" w:hAnsi="Arial" w:cs="Arial" w:eastAsia="Arial"/>
                <w:b w:val="0"/>
                <w:color w:val="101218"/>
                <w:sz w:val="16"/>
              </w:rPr>
              <w:t>عملیات بازیابی و مدیریت، session معتبر و rate limit داشته باشد</w:t>
            </w:r>
          </w:p>
        </w:tc>
        <w:tc>
          <w:tcPr>
            <w:tcW w:type="dxa" w:w="2556"/>
            <w:shd w:fill="F5F6F8"/>
          </w:tcPr>
          <w:p>
            <w:pPr>
              <w:spacing w:before="0" w:after="0" w:line="276" w:lineRule="auto"/>
              <w:jc w:val="right"/>
              <w:bidi w:val="1"/>
            </w:pPr>
            <w:r>
              <w:rPr>
                <w:rFonts w:ascii="Arial" w:hAnsi="Arial" w:cs="Arial" w:eastAsia="Arial"/>
                <w:b w:val="0"/>
                <w:color w:val="101218"/>
                <w:sz w:val="16"/>
              </w:rPr>
              <w:t>آزمون session منقضی و لغوشده</w:t>
            </w:r>
          </w:p>
        </w:tc>
      </w:tr>
      <w:tr>
        <w:tc>
          <w:tcPr>
            <w:tcW w:type="dxa" w:w="2556"/>
            <w:shd w:fill="FFFFFF"/>
          </w:tcPr>
          <w:p>
            <w:pPr>
              <w:spacing w:before="0" w:after="0" w:line="276" w:lineRule="auto"/>
              <w:jc w:val="right"/>
              <w:bidi w:val="1"/>
            </w:pPr>
            <w:r>
              <w:rPr>
                <w:rFonts w:ascii="Arial" w:hAnsi="Arial" w:cs="Arial" w:eastAsia="Arial"/>
                <w:b w:val="0"/>
                <w:color w:val="101218"/>
                <w:sz w:val="16"/>
              </w:rPr>
              <w:t>P1</w:t>
            </w:r>
          </w:p>
        </w:tc>
        <w:tc>
          <w:tcPr>
            <w:tcW w:type="dxa" w:w="2556"/>
            <w:shd w:fill="FFFFFF"/>
          </w:tcPr>
          <w:p>
            <w:pPr>
              <w:spacing w:before="0" w:after="0" w:line="276" w:lineRule="auto"/>
              <w:jc w:val="right"/>
              <w:bidi w:val="1"/>
            </w:pPr>
            <w:r>
              <w:rPr>
                <w:rFonts w:ascii="Arial" w:hAnsi="Arial" w:cs="Arial" w:eastAsia="Arial"/>
                <w:b w:val="0"/>
                <w:color w:val="101218"/>
                <w:sz w:val="16"/>
              </w:rPr>
              <w:t>Data API</w:t>
            </w:r>
          </w:p>
        </w:tc>
        <w:tc>
          <w:tcPr>
            <w:tcW w:type="dxa" w:w="2556"/>
            <w:shd w:fill="FFFFFF"/>
          </w:tcPr>
          <w:p>
            <w:pPr>
              <w:spacing w:before="0" w:after="0" w:line="276" w:lineRule="auto"/>
              <w:jc w:val="right"/>
              <w:bidi w:val="1"/>
            </w:pPr>
            <w:r>
              <w:rPr>
                <w:rFonts w:ascii="Arial" w:hAnsi="Arial" w:cs="Arial" w:eastAsia="Arial"/>
                <w:b w:val="0"/>
                <w:color w:val="101218"/>
                <w:sz w:val="16"/>
              </w:rPr>
              <w:t>exposure و GRANT مستقل از RLS مستند شود</w:t>
            </w:r>
          </w:p>
        </w:tc>
        <w:tc>
          <w:tcPr>
            <w:tcW w:type="dxa" w:w="2556"/>
            <w:shd w:fill="FFFFFF"/>
          </w:tcPr>
          <w:p>
            <w:pPr>
              <w:spacing w:before="0" w:after="0" w:line="276" w:lineRule="auto"/>
              <w:jc w:val="right"/>
              <w:bidi w:val="1"/>
            </w:pPr>
            <w:r>
              <w:rPr>
                <w:rFonts w:ascii="Arial" w:hAnsi="Arial" w:cs="Arial" w:eastAsia="Arial"/>
                <w:b w:val="0"/>
                <w:color w:val="101218"/>
                <w:sz w:val="16"/>
              </w:rPr>
              <w:t>فهرست schema و نقش‌ها</w:t>
            </w:r>
          </w:p>
        </w:tc>
      </w:tr>
      <w:tr>
        <w:tc>
          <w:tcPr>
            <w:tcW w:type="dxa" w:w="2556"/>
            <w:shd w:fill="F5F6F8"/>
          </w:tcPr>
          <w:p>
            <w:pPr>
              <w:spacing w:before="0" w:after="0" w:line="276" w:lineRule="auto"/>
              <w:jc w:val="right"/>
              <w:bidi w:val="1"/>
            </w:pPr>
            <w:r>
              <w:rPr>
                <w:rFonts w:ascii="Arial" w:hAnsi="Arial" w:cs="Arial" w:eastAsia="Arial"/>
                <w:b w:val="0"/>
                <w:color w:val="101218"/>
                <w:sz w:val="16"/>
              </w:rPr>
              <w:t>P1</w:t>
            </w:r>
          </w:p>
        </w:tc>
        <w:tc>
          <w:tcPr>
            <w:tcW w:type="dxa" w:w="2556"/>
            <w:shd w:fill="F5F6F8"/>
          </w:tcPr>
          <w:p>
            <w:pPr>
              <w:spacing w:before="0" w:after="0" w:line="276" w:lineRule="auto"/>
              <w:jc w:val="right"/>
              <w:bidi w:val="1"/>
            </w:pPr>
            <w:r>
              <w:rPr>
                <w:rFonts w:ascii="Arial" w:hAnsi="Arial" w:cs="Arial" w:eastAsia="Arial"/>
                <w:b w:val="0"/>
                <w:color w:val="101218"/>
                <w:sz w:val="16"/>
              </w:rPr>
              <w:t>داده مالی در log</w:t>
            </w:r>
          </w:p>
        </w:tc>
        <w:tc>
          <w:tcPr>
            <w:tcW w:type="dxa" w:w="2556"/>
            <w:shd w:fill="F5F6F8"/>
          </w:tcPr>
          <w:p>
            <w:pPr>
              <w:spacing w:before="0" w:after="0" w:line="276" w:lineRule="auto"/>
              <w:jc w:val="right"/>
              <w:bidi w:val="1"/>
            </w:pPr>
            <w:r>
              <w:rPr>
                <w:rFonts w:ascii="Arial" w:hAnsi="Arial" w:cs="Arial" w:eastAsia="Arial"/>
                <w:b w:val="0"/>
                <w:color w:val="101218"/>
                <w:sz w:val="16"/>
              </w:rPr>
              <w:t>payload و شناسه‌های حساس از log حذف یا mask شوند</w:t>
            </w:r>
          </w:p>
        </w:tc>
        <w:tc>
          <w:tcPr>
            <w:tcW w:type="dxa" w:w="2556"/>
            <w:shd w:fill="F5F6F8"/>
          </w:tcPr>
          <w:p>
            <w:pPr>
              <w:spacing w:before="0" w:after="0" w:line="276" w:lineRule="auto"/>
              <w:jc w:val="right"/>
              <w:bidi w:val="1"/>
            </w:pPr>
            <w:r>
              <w:rPr>
                <w:rFonts w:ascii="Arial" w:hAnsi="Arial" w:cs="Arial" w:eastAsia="Arial"/>
                <w:b w:val="0"/>
                <w:color w:val="101218"/>
                <w:sz w:val="16"/>
              </w:rPr>
              <w:t>نمونه log و تست redaction</w:t>
            </w:r>
          </w:p>
        </w:tc>
      </w:tr>
    </w:tbl>
    <w:p>
      <w:pPr>
        <w:spacing w:before="0" w:after="40" w:line="276" w:lineRule="auto"/>
      </w:pPr>
    </w:p>
    <w:p>
      <w:pPr>
        <w:pStyle w:val="Heading2"/>
        <w:spacing w:before="100" w:after="80" w:line="276" w:lineRule="auto"/>
        <w:jc w:val="right"/>
        <w:bidi w:val="1"/>
        <w:keepNext w:val="1"/>
      </w:pPr>
      <w:r>
        <w:rPr>
          <w:rFonts w:ascii="Arial" w:hAnsi="Arial" w:cs="Arial" w:eastAsia="Arial"/>
          <w:b/>
          <w:color w:val="101218"/>
          <w:sz w:val="26"/>
        </w:rPr>
        <w:t>ریسک‌های فعلی قالب</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152"/>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شدت</w:t>
            </w:r>
          </w:p>
        </w:tc>
        <w:tc>
          <w:tcPr>
            <w:tcW w:type="dxa" w:w="1944"/>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ریسک</w:t>
            </w:r>
          </w:p>
        </w:tc>
        <w:tc>
          <w:tcPr>
            <w:tcW w:type="dxa" w:w="3960"/>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شاهد</w:t>
            </w:r>
          </w:p>
        </w:tc>
        <w:tc>
          <w:tcPr>
            <w:tcW w:type="dxa" w:w="3168"/>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اقدام</w:t>
            </w:r>
          </w:p>
        </w:tc>
      </w:tr>
      <w:tr>
        <w:tc>
          <w:tcPr>
            <w:tcW w:type="dxa" w:w="2556"/>
            <w:shd w:fill="FFFFFF"/>
          </w:tcPr>
          <w:p>
            <w:pPr>
              <w:spacing w:before="0" w:after="0" w:line="276" w:lineRule="auto"/>
              <w:jc w:val="right"/>
              <w:bidi w:val="1"/>
            </w:pPr>
            <w:r>
              <w:rPr>
                <w:rFonts w:ascii="Arial" w:hAnsi="Arial" w:cs="Arial" w:eastAsia="Arial"/>
                <w:b w:val="0"/>
                <w:color w:val="101218"/>
                <w:sz w:val="16"/>
              </w:rPr>
              <w:t>بالا</w:t>
            </w:r>
          </w:p>
        </w:tc>
        <w:tc>
          <w:tcPr>
            <w:tcW w:type="dxa" w:w="2556"/>
            <w:shd w:fill="FFFFFF"/>
          </w:tcPr>
          <w:p>
            <w:pPr>
              <w:spacing w:before="0" w:after="0" w:line="276" w:lineRule="auto"/>
              <w:jc w:val="right"/>
              <w:bidi w:val="1"/>
            </w:pPr>
            <w:r>
              <w:rPr>
                <w:rFonts w:ascii="Arial" w:hAnsi="Arial" w:cs="Arial" w:eastAsia="Arial"/>
                <w:b w:val="0"/>
                <w:color w:val="101218"/>
                <w:sz w:val="16"/>
              </w:rPr>
              <w:t>هویت برند متناقض</w:t>
            </w:r>
          </w:p>
        </w:tc>
        <w:tc>
          <w:tcPr>
            <w:tcW w:type="dxa" w:w="2556"/>
            <w:shd w:fill="FFFFFF"/>
          </w:tcPr>
          <w:p>
            <w:pPr>
              <w:spacing w:before="0" w:after="0" w:line="276" w:lineRule="auto"/>
              <w:jc w:val="right"/>
              <w:bidi w:val="1"/>
            </w:pPr>
            <w:r>
              <w:rPr>
                <w:rFonts w:ascii="Arial" w:hAnsi="Arial" w:cs="Arial" w:eastAsia="Arial"/>
                <w:b w:val="0"/>
                <w:color w:val="101218"/>
                <w:sz w:val="16"/>
              </w:rPr>
              <w:t>توازن در رابط و README، وِزان در سند طراحی و تراز در بعضی assetها</w:t>
            </w:r>
          </w:p>
        </w:tc>
        <w:tc>
          <w:tcPr>
            <w:tcW w:type="dxa" w:w="2556"/>
            <w:shd w:fill="FFFFFF"/>
          </w:tcPr>
          <w:p>
            <w:pPr>
              <w:spacing w:before="0" w:after="0" w:line="276" w:lineRule="auto"/>
              <w:jc w:val="right"/>
              <w:bidi w:val="1"/>
            </w:pPr>
            <w:r>
              <w:rPr>
                <w:rFonts w:ascii="Arial" w:hAnsi="Arial" w:cs="Arial" w:eastAsia="Arial"/>
                <w:b w:val="0"/>
                <w:color w:val="101218"/>
                <w:sz w:val="16"/>
              </w:rPr>
              <w:t>تعیین canonical brand و rename کامل</w:t>
            </w:r>
          </w:p>
        </w:tc>
      </w:tr>
      <w:tr>
        <w:tc>
          <w:tcPr>
            <w:tcW w:type="dxa" w:w="2556"/>
            <w:shd w:fill="F5F6F8"/>
          </w:tcPr>
          <w:p>
            <w:pPr>
              <w:spacing w:before="0" w:after="0" w:line="276" w:lineRule="auto"/>
              <w:jc w:val="right"/>
              <w:bidi w:val="1"/>
            </w:pPr>
            <w:r>
              <w:rPr>
                <w:rFonts w:ascii="Arial" w:hAnsi="Arial" w:cs="Arial" w:eastAsia="Arial"/>
                <w:b w:val="0"/>
                <w:color w:val="101218"/>
                <w:sz w:val="16"/>
              </w:rPr>
              <w:t>بالا</w:t>
            </w:r>
          </w:p>
        </w:tc>
        <w:tc>
          <w:tcPr>
            <w:tcW w:type="dxa" w:w="2556"/>
            <w:shd w:fill="F5F6F8"/>
          </w:tcPr>
          <w:p>
            <w:pPr>
              <w:spacing w:before="0" w:after="0" w:line="276" w:lineRule="auto"/>
              <w:jc w:val="right"/>
              <w:bidi w:val="1"/>
            </w:pPr>
            <w:r>
              <w:rPr>
                <w:rFonts w:ascii="Arial" w:hAnsi="Arial" w:cs="Arial" w:eastAsia="Arial"/>
                <w:b w:val="0"/>
                <w:color w:val="101218"/>
                <w:sz w:val="16"/>
              </w:rPr>
              <w:t>نبود ثابت‌های مالی</w:t>
            </w:r>
          </w:p>
        </w:tc>
        <w:tc>
          <w:tcPr>
            <w:tcW w:type="dxa" w:w="2556"/>
            <w:shd w:fill="F5F6F8"/>
          </w:tcPr>
          <w:p>
            <w:pPr>
              <w:spacing w:before="0" w:after="0" w:line="276" w:lineRule="auto"/>
              <w:jc w:val="right"/>
              <w:bidi w:val="1"/>
            </w:pPr>
            <w:r>
              <w:rPr>
                <w:rFonts w:ascii="Arial" w:hAnsi="Arial" w:cs="Arial" w:eastAsia="Arial"/>
                <w:b w:val="0"/>
                <w:color w:val="101218"/>
                <w:sz w:val="16"/>
              </w:rPr>
              <w:t>امکان تایید طراحی بدون اثبات تراز، idempotency و منشأ ارزش</w:t>
            </w:r>
          </w:p>
        </w:tc>
        <w:tc>
          <w:tcPr>
            <w:tcW w:type="dxa" w:w="2556"/>
            <w:shd w:fill="F5F6F8"/>
          </w:tcPr>
          <w:p>
            <w:pPr>
              <w:spacing w:before="0" w:after="0" w:line="276" w:lineRule="auto"/>
              <w:jc w:val="right"/>
              <w:bidi w:val="1"/>
            </w:pPr>
            <w:r>
              <w:rPr>
                <w:rFonts w:ascii="Arial" w:hAnsi="Arial" w:cs="Arial" w:eastAsia="Arial"/>
                <w:b w:val="0"/>
                <w:color w:val="101218"/>
                <w:sz w:val="16"/>
              </w:rPr>
              <w:t>افزودن Financial Invariants به gate</w:t>
            </w:r>
          </w:p>
        </w:tc>
      </w:tr>
      <w:tr>
        <w:tc>
          <w:tcPr>
            <w:tcW w:type="dxa" w:w="2556"/>
            <w:shd w:fill="FFFFFF"/>
          </w:tcPr>
          <w:p>
            <w:pPr>
              <w:spacing w:before="0" w:after="0" w:line="276" w:lineRule="auto"/>
              <w:jc w:val="right"/>
              <w:bidi w:val="1"/>
            </w:pPr>
            <w:r>
              <w:rPr>
                <w:rFonts w:ascii="Arial" w:hAnsi="Arial" w:cs="Arial" w:eastAsia="Arial"/>
                <w:b w:val="0"/>
                <w:color w:val="101218"/>
                <w:sz w:val="16"/>
              </w:rPr>
              <w:t>متوسط</w:t>
            </w:r>
          </w:p>
        </w:tc>
        <w:tc>
          <w:tcPr>
            <w:tcW w:type="dxa" w:w="2556"/>
            <w:shd w:fill="FFFFFF"/>
          </w:tcPr>
          <w:p>
            <w:pPr>
              <w:spacing w:before="0" w:after="0" w:line="276" w:lineRule="auto"/>
              <w:jc w:val="right"/>
              <w:bidi w:val="1"/>
            </w:pPr>
            <w:r>
              <w:rPr>
                <w:rFonts w:ascii="Arial" w:hAnsi="Arial" w:cs="Arial" w:eastAsia="Arial"/>
                <w:b w:val="0"/>
                <w:color w:val="101218"/>
                <w:sz w:val="16"/>
              </w:rPr>
              <w:t>دسترس پذیری سند</w:t>
            </w:r>
          </w:p>
        </w:tc>
        <w:tc>
          <w:tcPr>
            <w:tcW w:type="dxa" w:w="2556"/>
            <w:shd w:fill="FFFFFF"/>
          </w:tcPr>
          <w:p>
            <w:pPr>
              <w:spacing w:before="0" w:after="0" w:line="276" w:lineRule="auto"/>
              <w:jc w:val="right"/>
              <w:bidi w:val="1"/>
            </w:pPr>
            <w:r>
              <w:rPr>
                <w:rFonts w:ascii="Arial" w:hAnsi="Arial" w:cs="Arial" w:eastAsia="Arial"/>
                <w:b w:val="0"/>
                <w:color w:val="101218"/>
                <w:sz w:val="16"/>
              </w:rPr>
              <w:t>alt text مفقود و دو پرش سطح تیتر</w:t>
            </w:r>
          </w:p>
        </w:tc>
        <w:tc>
          <w:tcPr>
            <w:tcW w:type="dxa" w:w="2556"/>
            <w:shd w:fill="FFFFFF"/>
          </w:tcPr>
          <w:p>
            <w:pPr>
              <w:spacing w:before="0" w:after="0" w:line="276" w:lineRule="auto"/>
              <w:jc w:val="right"/>
              <w:bidi w:val="1"/>
            </w:pPr>
            <w:r>
              <w:rPr>
                <w:rFonts w:ascii="Arial" w:hAnsi="Arial" w:cs="Arial" w:eastAsia="Arial"/>
                <w:b w:val="0"/>
                <w:color w:val="101218"/>
                <w:sz w:val="16"/>
              </w:rPr>
              <w:t>اصلاح ساختار و audit خودکار</w:t>
            </w:r>
          </w:p>
        </w:tc>
      </w:tr>
      <w:tr>
        <w:tc>
          <w:tcPr>
            <w:tcW w:type="dxa" w:w="2556"/>
            <w:shd w:fill="F5F6F8"/>
          </w:tcPr>
          <w:p>
            <w:pPr>
              <w:spacing w:before="0" w:after="0" w:line="276" w:lineRule="auto"/>
              <w:jc w:val="right"/>
              <w:bidi w:val="1"/>
            </w:pPr>
            <w:r>
              <w:rPr>
                <w:rFonts w:ascii="Arial" w:hAnsi="Arial" w:cs="Arial" w:eastAsia="Arial"/>
                <w:b w:val="0"/>
                <w:color w:val="101218"/>
                <w:sz w:val="16"/>
              </w:rPr>
              <w:t>متوسط</w:t>
            </w:r>
          </w:p>
        </w:tc>
        <w:tc>
          <w:tcPr>
            <w:tcW w:type="dxa" w:w="2556"/>
            <w:shd w:fill="F5F6F8"/>
          </w:tcPr>
          <w:p>
            <w:pPr>
              <w:spacing w:before="0" w:after="0" w:line="276" w:lineRule="auto"/>
              <w:jc w:val="right"/>
              <w:bidi w:val="1"/>
            </w:pPr>
            <w:r>
              <w:rPr>
                <w:rFonts w:ascii="Arial" w:hAnsi="Arial" w:cs="Arial" w:eastAsia="Arial"/>
                <w:b w:val="0"/>
                <w:color w:val="101218"/>
                <w:sz w:val="16"/>
              </w:rPr>
              <w:t>صفحه‌های متراکم</w:t>
            </w:r>
          </w:p>
        </w:tc>
        <w:tc>
          <w:tcPr>
            <w:tcW w:type="dxa" w:w="2556"/>
            <w:shd w:fill="F5F6F8"/>
          </w:tcPr>
          <w:p>
            <w:pPr>
              <w:spacing w:before="0" w:after="0" w:line="276" w:lineRule="auto"/>
              <w:jc w:val="right"/>
              <w:bidi w:val="1"/>
            </w:pPr>
            <w:r>
              <w:rPr>
                <w:rFonts w:ascii="Arial" w:hAnsi="Arial" w:cs="Arial" w:eastAsia="Arial"/>
                <w:b w:val="0"/>
                <w:color w:val="101218"/>
                <w:sz w:val="16"/>
              </w:rPr>
              <w:t>جدول قرارداد داده و آمادگی عملیاتی در چند صفحه می‌شکنند</w:t>
            </w:r>
          </w:p>
        </w:tc>
        <w:tc>
          <w:tcPr>
            <w:tcW w:type="dxa" w:w="2556"/>
            <w:shd w:fill="F5F6F8"/>
          </w:tcPr>
          <w:p>
            <w:pPr>
              <w:spacing w:before="0" w:after="0" w:line="276" w:lineRule="auto"/>
              <w:jc w:val="right"/>
              <w:bidi w:val="1"/>
            </w:pPr>
            <w:r>
              <w:rPr>
                <w:rFonts w:ascii="Arial" w:hAnsi="Arial" w:cs="Arial" w:eastAsia="Arial"/>
                <w:b w:val="0"/>
                <w:color w:val="101218"/>
                <w:sz w:val="16"/>
              </w:rPr>
              <w:t>کاهش placeholder و تقسیم هدفمند</w:t>
            </w:r>
          </w:p>
        </w:tc>
      </w:tr>
    </w:tbl>
    <w:p>
      <w:pPr>
        <w:spacing w:before="0" w:after="40" w:line="276" w:lineRule="auto"/>
      </w:pPr>
    </w:p>
    <w:p>
      <w:r>
        <w:br w:type="page"/>
      </w:r>
    </w:p>
    <w:p>
      <w:pPr>
        <w:spacing w:before="100" w:after="40" w:line="276" w:lineRule="auto"/>
        <w:jc w:val="right"/>
        <w:bidi w:val="1"/>
        <w:keepNext w:val="1"/>
      </w:pPr>
      <w:r>
        <w:rPr>
          <w:rFonts w:ascii="Arial" w:hAnsi="Arial" w:cs="Arial" w:eastAsia="Arial"/>
          <w:b/>
          <w:color w:val="4F46E5"/>
          <w:sz w:val="17"/>
        </w:rPr>
        <w:t>پیشنهاد اجرایی</w:t>
      </w:r>
    </w:p>
    <w:p>
      <w:pPr>
        <w:pStyle w:val="Heading1"/>
        <w:spacing w:before="140" w:after="120" w:line="276" w:lineRule="auto"/>
        <w:jc w:val="right"/>
        <w:bidi w:val="1"/>
        <w:keepNext w:val="1"/>
      </w:pPr>
      <w:r>
        <w:rPr>
          <w:rFonts w:ascii="Arial" w:hAnsi="Arial" w:cs="Arial" w:eastAsia="Arial"/>
          <w:b/>
          <w:color w:val="101218"/>
          <w:sz w:val="40"/>
        </w:rPr>
        <w:t>نقشه اجرای بازطراحی</w:t>
      </w:r>
    </w:p>
    <w:p>
      <w:pPr>
        <w:spacing w:before="0" w:after="140" w:line="298" w:lineRule="auto"/>
        <w:jc w:val="right"/>
        <w:bidi w:val="1"/>
      </w:pPr>
      <w:r>
        <w:rPr>
          <w:rFonts w:ascii="Arial" w:hAnsi="Arial" w:cs="Arial" w:eastAsia="Arial"/>
          <w:b w:val="0"/>
          <w:color w:val="101218"/>
          <w:sz w:val="21"/>
        </w:rPr>
        <w:t>پیاده‌سازی کامل را می‌توان در چهار گام کوچک و قابل بازگشت انجام داد. هر گام یک خروجی مستقل دارد و فقط پس از عبور از معیار خروج به مرحله بعد می‌رود.</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008"/>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مرحله</w:t>
            </w:r>
          </w:p>
        </w:tc>
        <w:tc>
          <w:tcPr>
            <w:tcW w:type="dxa" w:w="2232"/>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خروجی</w:t>
            </w:r>
          </w:p>
        </w:tc>
        <w:tc>
          <w:tcPr>
            <w:tcW w:type="dxa" w:w="3816"/>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محتوا</w:t>
            </w:r>
          </w:p>
        </w:tc>
        <w:tc>
          <w:tcPr>
            <w:tcW w:type="dxa" w:w="3240"/>
            <w:vAlign w:val="center"/>
            <w:tcMar>
              <w:top w:w="110" w:type="dxa"/>
              <w:start w:w="130" w:type="dxa"/>
              <w:bottom w:w="110" w:type="dxa"/>
              <w:end w:w="130" w:type="dxa"/>
            </w:tcMar>
            <w:tcBorders>
              <w:top w:val="single" w:sz="6" w:color="D9DCE3"/>
              <w:start w:val="single" w:sz="6" w:color="D9DCE3"/>
              <w:bottom w:val="single" w:sz="6" w:color="D9DCE3"/>
              <w:end w:val="single" w:sz="6" w:color="D9DCE3"/>
              <w:insideH w:val="single" w:sz="6" w:color="D9DCE3"/>
              <w:insideV w:val="single" w:sz="6" w:color="D9DCE3"/>
            </w:tcBorders>
            <w:shd w:fill="14233B"/>
          </w:tcPr>
          <w:p>
            <w:pPr>
              <w:spacing w:before="0" w:after="0" w:line="276" w:lineRule="auto"/>
              <w:jc w:val="right"/>
              <w:bidi w:val="1"/>
            </w:pPr>
            <w:r>
              <w:rPr>
                <w:rFonts w:ascii="Arial" w:hAnsi="Arial" w:cs="Arial" w:eastAsia="Arial"/>
                <w:b/>
                <w:color w:val="FFFFFF"/>
                <w:sz w:val="18"/>
              </w:rPr>
              <w:t>معیار خروج</w:t>
            </w:r>
          </w:p>
        </w:tc>
      </w:tr>
      <w:tr>
        <w:tc>
          <w:tcPr>
            <w:tcW w:type="dxa" w:w="2556"/>
            <w:shd w:fill="FFFFFF"/>
          </w:tcPr>
          <w:p>
            <w:pPr>
              <w:spacing w:before="0" w:after="0" w:line="276" w:lineRule="auto"/>
              <w:jc w:val="right"/>
              <w:bidi w:val="1"/>
            </w:pPr>
            <w:r>
              <w:rPr>
                <w:rFonts w:ascii="Arial" w:hAnsi="Arial" w:cs="Arial" w:eastAsia="Arial"/>
                <w:b w:val="0"/>
                <w:color w:val="101218"/>
                <w:sz w:val="17"/>
              </w:rPr>
              <w:t>M1</w:t>
            </w:r>
          </w:p>
        </w:tc>
        <w:tc>
          <w:tcPr>
            <w:tcW w:type="dxa" w:w="2556"/>
            <w:shd w:fill="FFFFFF"/>
          </w:tcPr>
          <w:p>
            <w:pPr>
              <w:spacing w:before="0" w:after="0" w:line="276" w:lineRule="auto"/>
              <w:jc w:val="right"/>
              <w:bidi w:val="1"/>
            </w:pPr>
            <w:r>
              <w:rPr>
                <w:rFonts w:ascii="Arial" w:hAnsi="Arial" w:cs="Arial" w:eastAsia="Arial"/>
                <w:b w:val="0"/>
                <w:color w:val="101218"/>
                <w:sz w:val="17"/>
              </w:rPr>
              <w:t>تصمیم هویت</w:t>
            </w:r>
          </w:p>
        </w:tc>
        <w:tc>
          <w:tcPr>
            <w:tcW w:type="dxa" w:w="2556"/>
            <w:shd w:fill="FFFFFF"/>
          </w:tcPr>
          <w:p>
            <w:pPr>
              <w:spacing w:before="0" w:after="0" w:line="276" w:lineRule="auto"/>
              <w:jc w:val="right"/>
              <w:bidi w:val="1"/>
            </w:pPr>
            <w:r>
              <w:rPr>
                <w:rFonts w:ascii="Arial" w:hAnsi="Arial" w:cs="Arial" w:eastAsia="Arial"/>
                <w:b w:val="0"/>
                <w:color w:val="101218"/>
                <w:sz w:val="17"/>
              </w:rPr>
              <w:t>نام canonical، لوگو، رنگ و فونت سند</w:t>
            </w:r>
          </w:p>
        </w:tc>
        <w:tc>
          <w:tcPr>
            <w:tcW w:type="dxa" w:w="2556"/>
            <w:shd w:fill="FFFFFF"/>
          </w:tcPr>
          <w:p>
            <w:pPr>
              <w:spacing w:before="0" w:after="0" w:line="276" w:lineRule="auto"/>
              <w:jc w:val="right"/>
              <w:bidi w:val="1"/>
            </w:pPr>
            <w:r>
              <w:rPr>
                <w:rFonts w:ascii="Arial" w:hAnsi="Arial" w:cs="Arial" w:eastAsia="Arial"/>
                <w:b w:val="0"/>
                <w:color w:val="101218"/>
                <w:sz w:val="17"/>
              </w:rPr>
              <w:t>تطابق README، UI، manifest و assetها</w:t>
            </w:r>
          </w:p>
        </w:tc>
      </w:tr>
      <w:tr>
        <w:tc>
          <w:tcPr>
            <w:tcW w:type="dxa" w:w="2556"/>
            <w:shd w:fill="F5F6F8"/>
          </w:tcPr>
          <w:p>
            <w:pPr>
              <w:spacing w:before="0" w:after="0" w:line="276" w:lineRule="auto"/>
              <w:jc w:val="right"/>
              <w:bidi w:val="1"/>
            </w:pPr>
            <w:r>
              <w:rPr>
                <w:rFonts w:ascii="Arial" w:hAnsi="Arial" w:cs="Arial" w:eastAsia="Arial"/>
                <w:b w:val="0"/>
                <w:color w:val="101218"/>
                <w:sz w:val="17"/>
              </w:rPr>
              <w:t>M2</w:t>
            </w:r>
          </w:p>
        </w:tc>
        <w:tc>
          <w:tcPr>
            <w:tcW w:type="dxa" w:w="2556"/>
            <w:shd w:fill="F5F6F8"/>
          </w:tcPr>
          <w:p>
            <w:pPr>
              <w:spacing w:before="0" w:after="0" w:line="276" w:lineRule="auto"/>
              <w:jc w:val="right"/>
              <w:bidi w:val="1"/>
            </w:pPr>
            <w:r>
              <w:rPr>
                <w:rFonts w:ascii="Arial" w:hAnsi="Arial" w:cs="Arial" w:eastAsia="Arial"/>
                <w:b w:val="0"/>
                <w:color w:val="101218"/>
                <w:sz w:val="17"/>
              </w:rPr>
              <w:t>بازطراحی قالب</w:t>
            </w:r>
          </w:p>
        </w:tc>
        <w:tc>
          <w:tcPr>
            <w:tcW w:type="dxa" w:w="2556"/>
            <w:shd w:fill="F5F6F8"/>
          </w:tcPr>
          <w:p>
            <w:pPr>
              <w:spacing w:before="0" w:after="0" w:line="276" w:lineRule="auto"/>
              <w:jc w:val="right"/>
              <w:bidi w:val="1"/>
            </w:pPr>
            <w:r>
              <w:rPr>
                <w:rFonts w:ascii="Arial" w:hAnsi="Arial" w:cs="Arial" w:eastAsia="Arial"/>
                <w:b w:val="0"/>
                <w:color w:val="101218"/>
                <w:sz w:val="17"/>
              </w:rPr>
              <w:t>جلد، hierarchy، جدول‌ها، footer و نمونه معماری</w:t>
            </w:r>
          </w:p>
        </w:tc>
        <w:tc>
          <w:tcPr>
            <w:tcW w:type="dxa" w:w="2556"/>
            <w:shd w:fill="F5F6F8"/>
          </w:tcPr>
          <w:p>
            <w:pPr>
              <w:spacing w:before="0" w:after="0" w:line="276" w:lineRule="auto"/>
              <w:jc w:val="right"/>
              <w:bidi w:val="1"/>
            </w:pPr>
            <w:r>
              <w:rPr>
                <w:rFonts w:ascii="Arial" w:hAnsi="Arial" w:cs="Arial" w:eastAsia="Arial"/>
                <w:b w:val="0"/>
                <w:color w:val="101218"/>
                <w:sz w:val="17"/>
              </w:rPr>
              <w:t>رندر تمیز در Word و PDF و امتیاز a11y بدون High</w:t>
            </w:r>
          </w:p>
        </w:tc>
      </w:tr>
      <w:tr>
        <w:tc>
          <w:tcPr>
            <w:tcW w:type="dxa" w:w="2556"/>
            <w:shd w:fill="FFFFFF"/>
          </w:tcPr>
          <w:p>
            <w:pPr>
              <w:spacing w:before="0" w:after="0" w:line="276" w:lineRule="auto"/>
              <w:jc w:val="right"/>
              <w:bidi w:val="1"/>
            </w:pPr>
            <w:r>
              <w:rPr>
                <w:rFonts w:ascii="Arial" w:hAnsi="Arial" w:cs="Arial" w:eastAsia="Arial"/>
                <w:b w:val="0"/>
                <w:color w:val="101218"/>
                <w:sz w:val="17"/>
              </w:rPr>
              <w:t>M3</w:t>
            </w:r>
          </w:p>
        </w:tc>
        <w:tc>
          <w:tcPr>
            <w:tcW w:type="dxa" w:w="2556"/>
            <w:shd w:fill="FFFFFF"/>
          </w:tcPr>
          <w:p>
            <w:pPr>
              <w:spacing w:before="0" w:after="0" w:line="276" w:lineRule="auto"/>
              <w:jc w:val="right"/>
              <w:bidi w:val="1"/>
            </w:pPr>
            <w:r>
              <w:rPr>
                <w:rFonts w:ascii="Arial" w:hAnsi="Arial" w:cs="Arial" w:eastAsia="Arial"/>
                <w:b w:val="0"/>
                <w:color w:val="101218"/>
                <w:sz w:val="17"/>
              </w:rPr>
              <w:t>افزودن کنترل مالی</w:t>
            </w:r>
          </w:p>
        </w:tc>
        <w:tc>
          <w:tcPr>
            <w:tcW w:type="dxa" w:w="2556"/>
            <w:shd w:fill="FFFFFF"/>
          </w:tcPr>
          <w:p>
            <w:pPr>
              <w:spacing w:before="0" w:after="0" w:line="276" w:lineRule="auto"/>
              <w:jc w:val="right"/>
              <w:bidi w:val="1"/>
            </w:pPr>
            <w:r>
              <w:rPr>
                <w:rFonts w:ascii="Arial" w:hAnsi="Arial" w:cs="Arial" w:eastAsia="Arial"/>
                <w:b w:val="0"/>
                <w:color w:val="101218"/>
                <w:sz w:val="17"/>
              </w:rPr>
              <w:t>invariants، provenance، reconciliation، RLS و DR</w:t>
            </w:r>
          </w:p>
        </w:tc>
        <w:tc>
          <w:tcPr>
            <w:tcW w:type="dxa" w:w="2556"/>
            <w:shd w:fill="FFFFFF"/>
          </w:tcPr>
          <w:p>
            <w:pPr>
              <w:spacing w:before="0" w:after="0" w:line="276" w:lineRule="auto"/>
              <w:jc w:val="right"/>
              <w:bidi w:val="1"/>
            </w:pPr>
            <w:r>
              <w:rPr>
                <w:rFonts w:ascii="Arial" w:hAnsi="Arial" w:cs="Arial" w:eastAsia="Arial"/>
                <w:b w:val="0"/>
                <w:color w:val="101218"/>
                <w:sz w:val="17"/>
              </w:rPr>
              <w:t>هر کنترل مالک و evidence داشته باشد</w:t>
            </w:r>
          </w:p>
        </w:tc>
      </w:tr>
      <w:tr>
        <w:tc>
          <w:tcPr>
            <w:tcW w:type="dxa" w:w="2556"/>
            <w:shd w:fill="F5F6F8"/>
          </w:tcPr>
          <w:p>
            <w:pPr>
              <w:spacing w:before="0" w:after="0" w:line="276" w:lineRule="auto"/>
              <w:jc w:val="right"/>
              <w:bidi w:val="1"/>
            </w:pPr>
            <w:r>
              <w:rPr>
                <w:rFonts w:ascii="Arial" w:hAnsi="Arial" w:cs="Arial" w:eastAsia="Arial"/>
                <w:b w:val="0"/>
                <w:color w:val="101218"/>
                <w:sz w:val="17"/>
              </w:rPr>
              <w:t>M4</w:t>
            </w:r>
          </w:p>
        </w:tc>
        <w:tc>
          <w:tcPr>
            <w:tcW w:type="dxa" w:w="2556"/>
            <w:shd w:fill="F5F6F8"/>
          </w:tcPr>
          <w:p>
            <w:pPr>
              <w:spacing w:before="0" w:after="0" w:line="276" w:lineRule="auto"/>
              <w:jc w:val="right"/>
              <w:bidi w:val="1"/>
            </w:pPr>
            <w:r>
              <w:rPr>
                <w:rFonts w:ascii="Arial" w:hAnsi="Arial" w:cs="Arial" w:eastAsia="Arial"/>
                <w:b w:val="0"/>
                <w:color w:val="101218"/>
                <w:sz w:val="17"/>
              </w:rPr>
              <w:t>پایلوت RFC واقعی</w:t>
            </w:r>
          </w:p>
        </w:tc>
        <w:tc>
          <w:tcPr>
            <w:tcW w:type="dxa" w:w="2556"/>
            <w:shd w:fill="F5F6F8"/>
          </w:tcPr>
          <w:p>
            <w:pPr>
              <w:spacing w:before="0" w:after="0" w:line="276" w:lineRule="auto"/>
              <w:jc w:val="right"/>
              <w:bidi w:val="1"/>
            </w:pPr>
            <w:r>
              <w:rPr>
                <w:rFonts w:ascii="Arial" w:hAnsi="Arial" w:cs="Arial" w:eastAsia="Arial"/>
                <w:b w:val="0"/>
                <w:color w:val="101218"/>
                <w:sz w:val="17"/>
              </w:rPr>
              <w:t>تکمیل قالب با یک تغییر مالی واقعی</w:t>
            </w:r>
          </w:p>
        </w:tc>
        <w:tc>
          <w:tcPr>
            <w:tcW w:type="dxa" w:w="2556"/>
            <w:shd w:fill="F5F6F8"/>
          </w:tcPr>
          <w:p>
            <w:pPr>
              <w:spacing w:before="0" w:after="0" w:line="276" w:lineRule="auto"/>
              <w:jc w:val="right"/>
              <w:bidi w:val="1"/>
            </w:pPr>
            <w:r>
              <w:rPr>
                <w:rFonts w:ascii="Arial" w:hAnsi="Arial" w:cs="Arial" w:eastAsia="Arial"/>
                <w:b w:val="0"/>
                <w:color w:val="101218"/>
                <w:sz w:val="17"/>
              </w:rPr>
              <w:t>review کمتر از ۳۰ دقیقه و صفر ابهام P0</w:t>
            </w:r>
          </w:p>
        </w:tc>
      </w:tr>
    </w:tbl>
    <w:p>
      <w:pPr>
        <w:spacing w:before="0" w:after="40" w:line="276" w:lineRule="auto"/>
      </w:pPr>
    </w:p>
    <w:p>
      <w:pPr>
        <w:pStyle w:val="Heading2"/>
        <w:spacing w:before="100" w:after="80" w:line="276" w:lineRule="auto"/>
        <w:jc w:val="right"/>
        <w:bidi w:val="1"/>
        <w:keepNext w:val="1"/>
      </w:pPr>
      <w:r>
        <w:rPr>
          <w:rFonts w:ascii="Arial" w:hAnsi="Arial" w:cs="Arial" w:eastAsia="Arial"/>
          <w:b/>
          <w:color w:val="101218"/>
          <w:sz w:val="26"/>
        </w:rPr>
        <w:t>معیار پذیرش نسخه حرفه‌ای</w:t>
      </w:r>
    </w:p>
    <w:p>
      <w:pPr>
        <w:spacing w:before="0" w:after="80" w:line="283" w:lineRule="auto"/>
        <w:ind w:right="259" w:hanging="259"/>
        <w:jc w:val="right"/>
        <w:bidi w:val="1"/>
      </w:pPr>
      <w:r>
        <w:rPr>
          <w:rFonts w:ascii="Arial" w:hAnsi="Arial" w:cs="Arial" w:eastAsia="Arial"/>
          <w:b/>
          <w:color w:val="4F46E5"/>
          <w:sz w:val="20"/>
        </w:rPr>
        <w:t xml:space="preserve">✓  </w:t>
      </w:r>
      <w:r>
        <w:rPr>
          <w:rFonts w:ascii="Arial" w:hAnsi="Arial" w:cs="Arial" w:eastAsia="Arial"/>
          <w:b w:val="0"/>
          <w:color w:val="101218"/>
          <w:sz w:val="20"/>
        </w:rPr>
        <w:t>جلد در کمتر از ده ثانیه موضوع، تصمیم، وضعیت و مالک را روشن کند.</w:t>
      </w:r>
    </w:p>
    <w:p>
      <w:pPr>
        <w:spacing w:before="0" w:after="80" w:line="283" w:lineRule="auto"/>
        <w:ind w:right="259" w:hanging="259"/>
        <w:jc w:val="right"/>
        <w:bidi w:val="1"/>
      </w:pPr>
      <w:r>
        <w:rPr>
          <w:rFonts w:ascii="Arial" w:hAnsi="Arial" w:cs="Arial" w:eastAsia="Arial"/>
          <w:b/>
          <w:color w:val="4F46E5"/>
          <w:sz w:val="20"/>
        </w:rPr>
        <w:t xml:space="preserve">✓  </w:t>
      </w:r>
      <w:r>
        <w:rPr>
          <w:rFonts w:ascii="Arial" w:hAnsi="Arial" w:cs="Arial" w:eastAsia="Arial"/>
          <w:b w:val="0"/>
          <w:color w:val="101218"/>
          <w:sz w:val="20"/>
        </w:rPr>
        <w:t>هیچ Heading level jump، تصویر بدون alt یا جدول با متن فشرده وجود نداشته باشد.</w:t>
      </w:r>
    </w:p>
    <w:p>
      <w:pPr>
        <w:spacing w:before="0" w:after="80" w:line="283" w:lineRule="auto"/>
        <w:ind w:right="259" w:hanging="259"/>
        <w:jc w:val="right"/>
        <w:bidi w:val="1"/>
      </w:pPr>
      <w:r>
        <w:rPr>
          <w:rFonts w:ascii="Arial" w:hAnsi="Arial" w:cs="Arial" w:eastAsia="Arial"/>
          <w:b/>
          <w:color w:val="4F46E5"/>
          <w:sz w:val="20"/>
        </w:rPr>
        <w:t xml:space="preserve">✓  </w:t>
      </w:r>
      <w:r>
        <w:rPr>
          <w:rFonts w:ascii="Arial" w:hAnsi="Arial" w:cs="Arial" w:eastAsia="Arial"/>
          <w:b w:val="0"/>
          <w:color w:val="101218"/>
          <w:sz w:val="20"/>
        </w:rPr>
        <w:t>هر عدد مالی واحد، ارز، زمان مؤثر و منبع داده مشخص داشته باشد.</w:t>
      </w:r>
    </w:p>
    <w:p>
      <w:pPr>
        <w:spacing w:before="0" w:after="80" w:line="283" w:lineRule="auto"/>
        <w:ind w:right="259" w:hanging="259"/>
        <w:jc w:val="right"/>
        <w:bidi w:val="1"/>
      </w:pPr>
      <w:r>
        <w:rPr>
          <w:rFonts w:ascii="Arial" w:hAnsi="Arial" w:cs="Arial" w:eastAsia="Arial"/>
          <w:b/>
          <w:color w:val="4F46E5"/>
          <w:sz w:val="20"/>
        </w:rPr>
        <w:t xml:space="preserve">✓  </w:t>
      </w:r>
      <w:r>
        <w:rPr>
          <w:rFonts w:ascii="Arial" w:hAnsi="Arial" w:cs="Arial" w:eastAsia="Arial"/>
          <w:b w:val="0"/>
          <w:color w:val="101218"/>
          <w:sz w:val="20"/>
        </w:rPr>
        <w:t>هر مسیر نوشتن مالی idempotency، رفتار شکست و روش برگشت را ثبت کند.</w:t>
      </w:r>
    </w:p>
    <w:p>
      <w:pPr>
        <w:spacing w:before="0" w:after="80" w:line="283" w:lineRule="auto"/>
        <w:ind w:right="259" w:hanging="259"/>
        <w:jc w:val="right"/>
        <w:bidi w:val="1"/>
      </w:pPr>
      <w:r>
        <w:rPr>
          <w:rFonts w:ascii="Arial" w:hAnsi="Arial" w:cs="Arial" w:eastAsia="Arial"/>
          <w:b/>
          <w:color w:val="4F46E5"/>
          <w:sz w:val="20"/>
        </w:rPr>
        <w:t xml:space="preserve">✓  </w:t>
      </w:r>
      <w:r>
        <w:rPr>
          <w:rFonts w:ascii="Arial" w:hAnsi="Arial" w:cs="Arial" w:eastAsia="Arial"/>
          <w:b w:val="0"/>
          <w:color w:val="101218"/>
          <w:sz w:val="20"/>
        </w:rPr>
        <w:t>هر کنترل امنیتی یک مالک و مدرک آزمون یا query قابل تکرار داشته باشد.</w:t>
      </w:r>
    </w:p>
    <w:p>
      <w:pPr>
        <w:spacing w:before="0" w:after="80" w:line="283" w:lineRule="auto"/>
        <w:ind w:right="259" w:hanging="259"/>
        <w:jc w:val="right"/>
        <w:bidi w:val="1"/>
      </w:pPr>
      <w:r>
        <w:rPr>
          <w:rFonts w:ascii="Arial" w:hAnsi="Arial" w:cs="Arial" w:eastAsia="Arial"/>
          <w:b/>
          <w:color w:val="4F46E5"/>
          <w:sz w:val="20"/>
        </w:rPr>
        <w:t xml:space="preserve">✓  </w:t>
      </w:r>
      <w:r>
        <w:rPr>
          <w:rFonts w:ascii="Arial" w:hAnsi="Arial" w:cs="Arial" w:eastAsia="Arial"/>
          <w:b w:val="0"/>
          <w:color w:val="101218"/>
          <w:sz w:val="20"/>
        </w:rPr>
        <w:t>صفحه‌های فارسی با RTL واقعی و اعداد جدولی در Word و PDF بدون شکست رندر شوند.</w:t>
      </w:r>
    </w:p>
    <w:p>
      <w:pPr>
        <w:pStyle w:val="Heading2"/>
        <w:spacing w:before="100" w:after="80" w:line="276" w:lineRule="auto"/>
        <w:jc w:val="right"/>
        <w:bidi w:val="1"/>
        <w:keepNext w:val="1"/>
      </w:pPr>
      <w:r>
        <w:rPr>
          <w:rFonts w:ascii="Arial" w:hAnsi="Arial" w:cs="Arial" w:eastAsia="Arial"/>
          <w:b/>
          <w:color w:val="101218"/>
          <w:sz w:val="26"/>
        </w:rPr>
        <w:t>تصمیم نهایی</w:t>
      </w:r>
    </w:p>
    <w:p>
      <w:pPr>
        <w:spacing w:before="0" w:after="140" w:line="298" w:lineRule="auto"/>
        <w:jc w:val="right"/>
        <w:bidi w:val="1"/>
      </w:pPr>
      <w:r>
        <w:rPr>
          <w:rFonts w:ascii="Arial" w:hAnsi="Arial" w:cs="Arial" w:eastAsia="Arial"/>
          <w:b w:val="0"/>
          <w:color w:val="101218"/>
          <w:sz w:val="21"/>
        </w:rPr>
        <w:t>بازطراحی توصیه می‌شود. قالب فعلی دور انداخته نشود؛ ستون فقرات فنی آن ارزشمند است. نسخه بعد باید ظاهر محصول را بازتاب دهد و کنترل‌های مالی را از نکته جانبی به معیار پذیرش تبدیل کند. مهم‌ترین پیش‌نیاز، تثبیت نام برند میان توازن، وِزان و تراز است.</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bidi w:val="1"/>
    </w:pPr>
    <w:r>
      <w:rPr>
        <w:rFonts w:ascii="Arial" w:hAnsi="Arial" w:cs="Arial" w:eastAsia="Arial"/>
        <w:b w:val="0"/>
        <w:color w:val="6B7280"/>
        <w:sz w:val="17"/>
      </w:rPr>
      <w:t xml:space="preserve">ممیزی قالب طراحی سیستم مالی  |  صفحه </w:t>
    </w:r>
    <w:r>
      <w:rPr>
        <w:rFonts w:ascii="Arial" w:hAnsi="Arial" w:cs="Arial" w:eastAsia="Arial"/>
        <w:color w:val="6B7280"/>
        <w:sz w:val="17"/>
      </w:rPr>
      <w:fldChar w:fldCharType="begin"/>
      <w:instrText xml:space="preserve"> PAGE </w:instrTex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jc w:val="center"/>
      <w:rPr/>
      <w:bidi w:val="1"/>
    </w:pPr>
    <w:r>
      <w:rPr>
        <w:rFonts w:ascii="Arial" w:hAnsi="Arial" w:cs="Arial" w:eastAsia="Arial"/>
        <w:b w:val="0"/>
        <w:color w:val="6B7280"/>
        <w:sz w:val="17"/>
      </w:rPr>
      <w:t>نسخه ۱  |  ۲۱ شهریور ۱۴۰۵</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cs="Arial"/>
      <w:color w:val="101218"/>
      <w:sz w:val="21"/>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rFonts w:ascii="Arial" w:hAnsi="Arial" w:cs="Arial"/>
      <w:b/>
      <w:bCs w:val="1"/>
      <w:color w:val="101218"/>
      <w:sz w:val="40"/>
      <w:szCs w:val="27"/>
    </w:rPr>
  </w:style>
  <w:style w:type="paragraph" w:styleId="Heading2">
    <w:name w:val="heading 2"/>
    <w:basedOn w:val="Normal"/>
    <w:next w:val="Normal"/>
    <w:pPr>
      <w:keepNext w:val="1"/>
      <w:keepLines w:val="1"/>
      <w:spacing w:after="0" w:before="200" w:lineRule="auto"/>
    </w:pPr>
    <w:rPr>
      <w:rFonts w:ascii="Arial" w:cs="Arial" w:eastAsia="Calibri" w:hAnsi="Arial"/>
      <w:b/>
      <w:bCs w:val="1"/>
      <w:smallCaps w:val="1"/>
      <w:color w:val="101218"/>
      <w:sz w:val="26"/>
      <w:szCs w:val="19"/>
    </w:rPr>
  </w:style>
  <w:style w:type="paragraph" w:styleId="Heading3">
    <w:name w:val="heading 3"/>
    <w:basedOn w:val="Normal"/>
    <w:next w:val="Normal"/>
    <w:pPr>
      <w:keepNext w:val="1"/>
      <w:keepLines w:val="1"/>
    </w:pPr>
    <w:rPr>
      <w:rFonts w:ascii="Arial" w:cs="Arial" w:eastAsia="Helvetica Neue" w:hAnsi="Arial"/>
      <w:b/>
      <w:bCs w:val="1"/>
      <w:color w:val="101218"/>
      <w:sz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Arial" w:hAnsi="Arial" w:cs="Arial"/>
      <w:b/>
      <w:bCs w:val="1"/>
      <w:color w:val="101218"/>
      <w:sz w:val="60"/>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ممیزی قالب طراحی سیستم برای اپ مالی</dc:title>
  <cp:lastModifiedBy>python-docx</cp:lastModifiedBy>
  <cp:revision>1</cp:revision>
  <dcterms:modified xsi:type="dcterms:W3CDTF">2026-09-12T00:44:54Z</dcterms:modified>
  <dc:subject>مقایسه نسخه موجود و طرح پیشنهادی برای توازن</dc:subject>
  <dc:creator>تیم محصول توازن</dc:creator>
  <cp:keywords>System Design, Financial App, Audit, RTL, Supabase, PostgreSQL</cp:keywords>
</cp:coreProperties>
</file>