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009"/>
        <w:gridCol w:w="485"/>
        <w:gridCol w:w="920"/>
        <w:gridCol w:w="754"/>
      </w:tblGrid>
      <w:tr w:rsidR="00ED62A3" w:rsidRPr="006467CD" w:rsidTr="00ED62A3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OR</w:t>
            </w:r>
            <w:r w:rsidRPr="006467CD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95% CI</w:t>
            </w:r>
            <w:r w:rsidRPr="006467CD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p-value</w:t>
            </w: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6467CD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Parent’s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&lt; 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&gt;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2.04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0.31, 13.5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25–35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2.79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0.56, 13.9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36–45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0.48, 13.0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6467CD" w:rsidP="0081690E">
            <w:pPr>
              <w:keepNext/>
              <w:spacing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Parent’s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0.009</w:t>
            </w: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0.17, 0.79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6467CD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Parent’s education 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Postgraduate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Primary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9.43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3.61, 24.6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Secondary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3.90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2.15, 7.05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Undergraduate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1.82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0.88, 3.79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6467CD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Employment status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0.002</w:t>
            </w: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Not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0.19, 1.12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Self employed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0.82, 3.72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6467CD" w:rsidP="0081690E">
            <w:pPr>
              <w:keepNext/>
              <w:spacing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Family Type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0.089</w:t>
            </w: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Extended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Nuclear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1.03, 3.14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Single parent family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1.42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0.75, 2.68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6467CD" w:rsidP="0081690E">
            <w:pPr>
              <w:keepNext/>
              <w:spacing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Your average household income per month (BDT)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0.010</w:t>
            </w: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High (greater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Low (less than 30000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2.65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1.36, 5.17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Middle (less than 50000 BDT)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1.16, 3.91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6467CD" w:rsidP="0081690E">
            <w:pPr>
              <w:keepNext/>
              <w:spacing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Child’s 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0.92, 1.99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6467CD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Child’s age (years)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&lt; 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&gt;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0.39, 2.70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5–9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0.53, 3.45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6467CD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Number of children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&gt;= 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0.61, 2.25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0.46, 1.41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6467CD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Who is the leading child caregiver at home?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&lt;0.001</w:t>
            </w: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Father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Grandmother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0.19, 10.5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Mother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4.81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1.65, 14.0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0.00, 0.00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6467CD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b/>
                <w:sz w:val="20"/>
                <w:szCs w:val="20"/>
              </w:rPr>
              <w:t>Are grandparents at home involved in treatment decisions when your child is ill?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Always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Never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0.55, 3.76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Often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0.39, 4.50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Sometimes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0.85, 6.30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ED62A3" w:rsidRPr="006467CD" w:rsidRDefault="00ED62A3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2A3" w:rsidRPr="006467CD" w:rsidTr="00ED62A3">
        <w:trPr>
          <w:cantSplit/>
          <w:jc w:val="center"/>
        </w:trPr>
        <w:tc>
          <w:tcPr>
            <w:tcW w:w="0" w:type="auto"/>
            <w:gridSpan w:val="4"/>
          </w:tcPr>
          <w:p w:rsidR="00ED62A3" w:rsidRPr="006467CD" w:rsidRDefault="00000000" w:rsidP="0081690E">
            <w:pPr>
              <w:keepNext/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467CD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1</w:t>
            </w:r>
            <w:r w:rsidRPr="006467CD">
              <w:rPr>
                <w:rFonts w:ascii="Times New Roman" w:hAnsi="Times New Roman" w:cs="Times New Roman"/>
                <w:sz w:val="20"/>
                <w:szCs w:val="20"/>
              </w:rPr>
              <w:t>OR = Odds Ratio, CI = Confidence Interval</w:t>
            </w:r>
          </w:p>
        </w:tc>
      </w:tr>
    </w:tbl>
    <w:p w:rsidR="00ED62A3" w:rsidRPr="006467CD" w:rsidRDefault="006467CD" w:rsidP="0081690E">
      <w:pPr>
        <w:pStyle w:val="FirstParagraph"/>
        <w:rPr>
          <w:rFonts w:ascii="Times New Roman" w:hAnsi="Times New Roman" w:cs="Times New Roman"/>
          <w:sz w:val="20"/>
          <w:szCs w:val="20"/>
        </w:rPr>
      </w:pPr>
      <w:r w:rsidRPr="006467CD">
        <w:rPr>
          <w:rFonts w:ascii="Times New Roman" w:hAnsi="Times New Roman" w:cs="Times New Roman"/>
          <w:b/>
          <w:bCs/>
          <w:sz w:val="20"/>
          <w:szCs w:val="20"/>
        </w:rPr>
        <w:t>Table 5 Factors associated with the level of attitudes towards antibiotic resistance among parents of school-going children (N = 704).</w:t>
      </w:r>
    </w:p>
    <w:sectPr w:rsidR="00ED62A3" w:rsidRPr="006467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65413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370344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62A3"/>
    <w:rsid w:val="000E18C4"/>
    <w:rsid w:val="006467CD"/>
    <w:rsid w:val="0081690E"/>
    <w:rsid w:val="00EC5083"/>
    <w:rsid w:val="00ED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F792"/>
  <w15:docId w15:val="{0FF464CD-C61E-40AD-AE13-34D3518F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9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Khan Marjan Hossen</cp:lastModifiedBy>
  <cp:revision>3</cp:revision>
  <dcterms:created xsi:type="dcterms:W3CDTF">2025-01-02T22:29:00Z</dcterms:created>
  <dcterms:modified xsi:type="dcterms:W3CDTF">2025-01-02T22:37:00Z</dcterms:modified>
</cp:coreProperties>
</file>