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ED8" w:rsidRDefault="00064ED8" w:rsidP="00AD7FB0">
      <w:pPr>
        <w:ind w:firstLine="0"/>
      </w:pPr>
      <w:r>
        <w:rPr>
          <w:b/>
          <w:bCs/>
        </w:rPr>
        <w:t>Figure 1</w:t>
      </w:r>
      <w:r>
        <w:br/>
      </w:r>
      <w:r>
        <w:rPr>
          <w:i/>
          <w:iCs/>
        </w:rPr>
        <w:t>Fitted smoothing spline curves for each of the RIASEC subscales</w:t>
      </w:r>
      <w:r>
        <w:t xml:space="preserve"> </w:t>
      </w:r>
      <w:r>
        <w:rPr>
          <w:noProof/>
        </w:rPr>
        <w:drawing>
          <wp:inline distT="0" distB="0" distL="0" distR="0" wp14:anchorId="60E9C514" wp14:editId="033A8B87">
            <wp:extent cx="5943600" cy="33963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8-1.png"/>
                    <pic:cNvPicPr>
                      <a:picLocks noChangeAspect="1" noChangeArrowheads="1"/>
                    </pic:cNvPicPr>
                  </pic:nvPicPr>
                  <pic:blipFill>
                    <a:blip r:embed="rId4"/>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r>
        <w:rPr>
          <w:i/>
          <w:iCs/>
        </w:rPr>
        <w:t xml:space="preserve">Note. </w:t>
      </w:r>
      <w:r>
        <w:t xml:space="preserve"> Values on the </w:t>
      </w:r>
      <m:oMath>
        <m:r>
          <w:rPr>
            <w:rFonts w:ascii="Cambria Math" w:hAnsi="Cambria Math"/>
          </w:rPr>
          <m:t>y</m:t>
        </m:r>
      </m:oMath>
      <w:r>
        <w:t>-axis reflect the effect on the log-odds of having completed a university major in psychology.</w:t>
      </w:r>
    </w:p>
    <w:p w:rsidR="00FA1634" w:rsidRDefault="00FA1634" w:rsidP="00AD7FB0">
      <w:pPr>
        <w:ind w:firstLine="0"/>
      </w:pPr>
    </w:p>
    <w:p w:rsidR="00064ED8" w:rsidRDefault="00064ED8" w:rsidP="00AD7FB0">
      <w:pPr>
        <w:ind w:firstLine="0"/>
      </w:pPr>
      <w:r>
        <w:rPr>
          <w:b/>
          <w:bCs/>
        </w:rPr>
        <w:lastRenderedPageBreak/>
        <w:t>Figure 2</w:t>
      </w:r>
      <w:r>
        <w:br/>
      </w:r>
      <w:r>
        <w:rPr>
          <w:i/>
          <w:iCs/>
        </w:rPr>
        <w:t>Conditional inference tree pruned to a depth of three</w:t>
      </w:r>
      <w:r>
        <w:t xml:space="preserve"> </w:t>
      </w:r>
      <w:r>
        <w:rPr>
          <w:noProof/>
        </w:rPr>
        <w:drawing>
          <wp:inline distT="0" distB="0" distL="0" distR="0" wp14:anchorId="408A5C45" wp14:editId="1702AC32">
            <wp:extent cx="5943600" cy="32003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11-1.png"/>
                    <pic:cNvPicPr>
                      <a:picLocks noChangeAspect="1" noChangeArrowheads="1"/>
                    </pic:cNvPicPr>
                  </pic:nvPicPr>
                  <pic:blipFill>
                    <a:blip r:embed="rId5"/>
                    <a:stretch>
                      <a:fillRect/>
                    </a:stretch>
                  </pic:blipFill>
                  <pic:spPr bwMode="auto">
                    <a:xfrm>
                      <a:off x="0" y="0"/>
                      <a:ext cx="5943600" cy="3200399"/>
                    </a:xfrm>
                    <a:prstGeom prst="rect">
                      <a:avLst/>
                    </a:prstGeom>
                    <a:noFill/>
                    <a:ln w="9525">
                      <a:noFill/>
                      <a:headEnd/>
                      <a:tailEnd/>
                    </a:ln>
                  </pic:spPr>
                </pic:pic>
              </a:graphicData>
            </a:graphic>
          </wp:inline>
        </w:drawing>
      </w:r>
    </w:p>
    <w:p w:rsidR="00064ED8" w:rsidRDefault="00064ED8" w:rsidP="00AD7FB0">
      <w:pPr>
        <w:spacing w:line="259" w:lineRule="auto"/>
        <w:ind w:firstLine="0"/>
      </w:pPr>
      <w:r>
        <w:br w:type="page"/>
      </w:r>
    </w:p>
    <w:p w:rsidR="00064ED8" w:rsidRDefault="00064ED8" w:rsidP="00AD7FB0">
      <w:pPr>
        <w:ind w:firstLine="0"/>
      </w:pPr>
      <w:r>
        <w:rPr>
          <w:b/>
          <w:bCs/>
        </w:rPr>
        <w:lastRenderedPageBreak/>
        <w:t>Figure 3</w:t>
      </w:r>
      <w:r>
        <w:br/>
      </w:r>
      <w:r>
        <w:rPr>
          <w:i/>
          <w:iCs/>
        </w:rPr>
        <w:t>Variable contributions for each of the models fitted using RIASEC subscale scores as predictors</w:t>
      </w:r>
      <w:r>
        <w:t xml:space="preserve"> </w:t>
      </w:r>
      <w:r>
        <w:rPr>
          <w:noProof/>
        </w:rPr>
        <w:drawing>
          <wp:inline distT="0" distB="0" distL="0" distR="0" wp14:anchorId="1E671B52" wp14:editId="748FD88D">
            <wp:extent cx="5943600" cy="127362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9-1.png"/>
                    <pic:cNvPicPr>
                      <a:picLocks noChangeAspect="1" noChangeArrowheads="1"/>
                    </pic:cNvPicPr>
                  </pic:nvPicPr>
                  <pic:blipFill>
                    <a:blip r:embed="rId6"/>
                    <a:stretch>
                      <a:fillRect/>
                    </a:stretch>
                  </pic:blipFill>
                  <pic:spPr bwMode="auto">
                    <a:xfrm>
                      <a:off x="0" y="0"/>
                      <a:ext cx="5943600" cy="1273628"/>
                    </a:xfrm>
                    <a:prstGeom prst="rect">
                      <a:avLst/>
                    </a:prstGeom>
                    <a:noFill/>
                    <a:ln w="9525">
                      <a:noFill/>
                      <a:headEnd/>
                      <a:tailEnd/>
                    </a:ln>
                  </pic:spPr>
                </pic:pic>
              </a:graphicData>
            </a:graphic>
          </wp:inline>
        </w:drawing>
      </w:r>
      <w:r>
        <w:rPr>
          <w:noProof/>
        </w:rPr>
        <w:drawing>
          <wp:inline distT="0" distB="0" distL="0" distR="0" wp14:anchorId="4D73892A" wp14:editId="6461F87B">
            <wp:extent cx="5943600" cy="12736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9-2.png"/>
                    <pic:cNvPicPr>
                      <a:picLocks noChangeAspect="1" noChangeArrowheads="1"/>
                    </pic:cNvPicPr>
                  </pic:nvPicPr>
                  <pic:blipFill>
                    <a:blip r:embed="rId7"/>
                    <a:stretch>
                      <a:fillRect/>
                    </a:stretch>
                  </pic:blipFill>
                  <pic:spPr bwMode="auto">
                    <a:xfrm>
                      <a:off x="0" y="0"/>
                      <a:ext cx="5943600" cy="1273628"/>
                    </a:xfrm>
                    <a:prstGeom prst="rect">
                      <a:avLst/>
                    </a:prstGeom>
                    <a:noFill/>
                    <a:ln w="9525">
                      <a:noFill/>
                      <a:headEnd/>
                      <a:tailEnd/>
                    </a:ln>
                  </pic:spPr>
                </pic:pic>
              </a:graphicData>
            </a:graphic>
          </wp:inline>
        </w:drawing>
      </w:r>
      <w:r>
        <w:t xml:space="preserve"> </w:t>
      </w:r>
      <w:r>
        <w:rPr>
          <w:i/>
          <w:iCs/>
        </w:rPr>
        <w:t>Note.</w:t>
      </w:r>
      <w:r>
        <w:t xml:space="preserve"> Coefficients in the logistic regression and importance measures of the prediction rule ensemble are on the scale of standard deviations. Importance measures for the other methods are on the scale of variances; for those methods, the square roots are plotted.</w:t>
      </w:r>
    </w:p>
    <w:p w:rsidR="00064ED8" w:rsidRDefault="00064ED8" w:rsidP="00AD7FB0">
      <w:pPr>
        <w:ind w:firstLine="0"/>
      </w:pPr>
    </w:p>
    <w:p w:rsidR="00AD7FB0" w:rsidRDefault="00AD7FB0">
      <w:pPr>
        <w:spacing w:line="259" w:lineRule="auto"/>
        <w:ind w:firstLine="0"/>
        <w:rPr>
          <w:b/>
          <w:bCs/>
        </w:rPr>
      </w:pPr>
      <w:r>
        <w:rPr>
          <w:b/>
          <w:bCs/>
        </w:rPr>
        <w:br w:type="page"/>
      </w:r>
    </w:p>
    <w:p w:rsidR="00AD7FB0" w:rsidRDefault="00064ED8" w:rsidP="00AD7FB0">
      <w:pPr>
        <w:ind w:firstLine="0"/>
      </w:pPr>
      <w:r>
        <w:rPr>
          <w:b/>
          <w:bCs/>
        </w:rPr>
        <w:lastRenderedPageBreak/>
        <w:t>Figure 4</w:t>
      </w:r>
      <w:r>
        <w:br/>
      </w:r>
      <w:r>
        <w:rPr>
          <w:i/>
          <w:iCs/>
        </w:rPr>
        <w:t>Predictive accuracy on train and test observations for each of the models fitted on subscale scores (left panel) and items scores (right panel)</w:t>
      </w:r>
      <w:r>
        <w:t xml:space="preserve"> </w:t>
      </w:r>
      <w:r>
        <w:rPr>
          <w:noProof/>
        </w:rPr>
        <w:drawing>
          <wp:inline distT="0" distB="0" distL="0" distR="0" wp14:anchorId="4B003A82" wp14:editId="62D17D05">
            <wp:extent cx="5943600" cy="260032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30-1.png"/>
                    <pic:cNvPicPr>
                      <a:picLocks noChangeAspect="1" noChangeArrowheads="1"/>
                    </pic:cNvPicPr>
                  </pic:nvPicPr>
                  <pic:blipFill>
                    <a:blip r:embed="rId8"/>
                    <a:stretch>
                      <a:fillRect/>
                    </a:stretch>
                  </pic:blipFill>
                  <pic:spPr bwMode="auto">
                    <a:xfrm>
                      <a:off x="0" y="0"/>
                      <a:ext cx="5943600" cy="2600324"/>
                    </a:xfrm>
                    <a:prstGeom prst="rect">
                      <a:avLst/>
                    </a:prstGeom>
                    <a:noFill/>
                    <a:ln w="9525">
                      <a:noFill/>
                      <a:headEnd/>
                      <a:tailEnd/>
                    </a:ln>
                  </pic:spPr>
                </pic:pic>
              </a:graphicData>
            </a:graphic>
          </wp:inline>
        </w:drawing>
      </w:r>
      <w:r>
        <w:t xml:space="preserve"> </w:t>
      </w:r>
      <w:r>
        <w:rPr>
          <w:i/>
          <w:iCs/>
        </w:rPr>
        <w:t>Note.</w:t>
      </w:r>
      <w:r>
        <w:t xml:space="preserve"> (p)GLM = (penalized) logistic regression; GAM = generalized additive model with smoothing splines; PRE = prediction rule ensemble; GBE = gradient boosted tree ensemble; RF = random forest; kNN = k nearest neighbours.</w:t>
      </w:r>
    </w:p>
    <w:p w:rsidR="00AD7FB0" w:rsidRDefault="00AD7FB0">
      <w:pPr>
        <w:spacing w:line="259" w:lineRule="auto"/>
        <w:ind w:firstLine="0"/>
      </w:pPr>
      <w:r>
        <w:br w:type="page"/>
      </w:r>
    </w:p>
    <w:p w:rsidR="00AD7FB0" w:rsidRDefault="00AD7FB0" w:rsidP="00AD7FB0">
      <w:pPr>
        <w:ind w:firstLine="0"/>
      </w:pPr>
      <w:r>
        <w:rPr>
          <w:b/>
          <w:bCs/>
        </w:rPr>
        <w:lastRenderedPageBreak/>
        <w:t>Table 1</w:t>
      </w:r>
      <w:r>
        <w:br/>
      </w:r>
      <w:r>
        <w:rPr>
          <w:i/>
          <w:iCs/>
        </w:rPr>
        <w:t>Six most important rules in the prediction rule ensemble</w:t>
      </w:r>
    </w:p>
    <w:tbl>
      <w:tblPr>
        <w:tblW w:w="0" w:type="pct"/>
        <w:tblLook w:val="0020" w:firstRow="1" w:lastRow="0" w:firstColumn="0" w:lastColumn="0" w:noHBand="0" w:noVBand="0"/>
      </w:tblPr>
      <w:tblGrid>
        <w:gridCol w:w="3973"/>
        <w:gridCol w:w="1336"/>
      </w:tblGrid>
      <w:tr w:rsidR="00AD7FB0" w:rsidRPr="00AD7FB0" w:rsidTr="003A6EC8">
        <w:tc>
          <w:tcPr>
            <w:tcW w:w="0" w:type="auto"/>
            <w:tcBorders>
              <w:top w:val="single" w:sz="4" w:space="0" w:color="auto"/>
              <w:bottom w:val="single" w:sz="4" w:space="0" w:color="auto"/>
            </w:tcBorders>
            <w:vAlign w:val="center"/>
          </w:tcPr>
          <w:p w:rsidR="00AD7FB0" w:rsidRPr="00AD7FB0" w:rsidRDefault="00AD7FB0" w:rsidP="003A6EC8">
            <w:pPr>
              <w:spacing w:after="0"/>
              <w:ind w:firstLine="0"/>
              <w:rPr>
                <w:b/>
                <w:bCs/>
              </w:rPr>
            </w:pPr>
            <w:r w:rsidRPr="00AD7FB0">
              <w:rPr>
                <w:b/>
                <w:bCs/>
              </w:rPr>
              <w:t>Description</w:t>
            </w:r>
          </w:p>
        </w:tc>
        <w:tc>
          <w:tcPr>
            <w:tcW w:w="0" w:type="auto"/>
            <w:tcBorders>
              <w:top w:val="single" w:sz="4" w:space="0" w:color="auto"/>
              <w:bottom w:val="single" w:sz="4" w:space="0" w:color="auto"/>
            </w:tcBorders>
            <w:vAlign w:val="center"/>
          </w:tcPr>
          <w:p w:rsidR="00AD7FB0" w:rsidRPr="00AD7FB0" w:rsidRDefault="00AD7FB0" w:rsidP="003A6EC8">
            <w:pPr>
              <w:spacing w:after="0"/>
              <w:ind w:firstLine="0"/>
              <w:jc w:val="center"/>
              <w:rPr>
                <w:b/>
                <w:bCs/>
              </w:rPr>
            </w:pPr>
            <w:r w:rsidRPr="00AD7FB0">
              <w:rPr>
                <w:b/>
                <w:bCs/>
              </w:rPr>
              <w:t>Coefficient</w:t>
            </w:r>
          </w:p>
        </w:tc>
      </w:tr>
      <w:tr w:rsidR="00AD7FB0" w:rsidTr="003A6EC8">
        <w:tc>
          <w:tcPr>
            <w:tcW w:w="0" w:type="auto"/>
            <w:tcBorders>
              <w:top w:val="single" w:sz="4" w:space="0" w:color="auto"/>
            </w:tcBorders>
            <w:vAlign w:val="center"/>
          </w:tcPr>
          <w:p w:rsidR="00AD7FB0" w:rsidRDefault="00AD7FB0" w:rsidP="003A6EC8">
            <w:pPr>
              <w:spacing w:after="0"/>
              <w:ind w:firstLine="0"/>
            </w:pPr>
            <w:r>
              <w:t>Soci &gt; 27 &amp; Ente &lt;= 31 &amp; Conv &lt;= 30</w:t>
            </w:r>
          </w:p>
        </w:tc>
        <w:tc>
          <w:tcPr>
            <w:tcW w:w="0" w:type="auto"/>
            <w:tcBorders>
              <w:top w:val="single" w:sz="4" w:space="0" w:color="auto"/>
            </w:tcBorders>
            <w:vAlign w:val="center"/>
          </w:tcPr>
          <w:p w:rsidR="00AD7FB0" w:rsidRDefault="00AD7FB0" w:rsidP="003A6EC8">
            <w:pPr>
              <w:spacing w:after="0"/>
              <w:ind w:firstLine="0"/>
              <w:jc w:val="center"/>
            </w:pPr>
            <w:r>
              <w:t>0.182</w:t>
            </w:r>
          </w:p>
        </w:tc>
      </w:tr>
      <w:tr w:rsidR="00AD7FB0" w:rsidTr="003A6EC8">
        <w:tc>
          <w:tcPr>
            <w:tcW w:w="0" w:type="auto"/>
            <w:vAlign w:val="center"/>
          </w:tcPr>
          <w:p w:rsidR="00AD7FB0" w:rsidRDefault="00AD7FB0" w:rsidP="003A6EC8">
            <w:pPr>
              <w:spacing w:after="0"/>
              <w:ind w:firstLine="0"/>
            </w:pPr>
            <w:r>
              <w:t>Soci &gt; 23 &amp; Ente &lt;= 29 &amp; Real &lt;= 24</w:t>
            </w:r>
          </w:p>
        </w:tc>
        <w:tc>
          <w:tcPr>
            <w:tcW w:w="0" w:type="auto"/>
            <w:vAlign w:val="center"/>
          </w:tcPr>
          <w:p w:rsidR="00AD7FB0" w:rsidRDefault="00AD7FB0" w:rsidP="003A6EC8">
            <w:pPr>
              <w:spacing w:after="0"/>
              <w:ind w:firstLine="0"/>
              <w:jc w:val="center"/>
            </w:pPr>
            <w:r>
              <w:t>0.181</w:t>
            </w:r>
          </w:p>
        </w:tc>
      </w:tr>
      <w:tr w:rsidR="00AD7FB0" w:rsidTr="003A6EC8">
        <w:tc>
          <w:tcPr>
            <w:tcW w:w="0" w:type="auto"/>
            <w:vAlign w:val="center"/>
          </w:tcPr>
          <w:p w:rsidR="00AD7FB0" w:rsidRDefault="00AD7FB0" w:rsidP="003A6EC8">
            <w:pPr>
              <w:spacing w:after="0"/>
              <w:ind w:firstLine="0"/>
            </w:pPr>
            <w:r>
              <w:t>Real &gt; 10 &amp; Soci &lt;= 35</w:t>
            </w:r>
          </w:p>
        </w:tc>
        <w:tc>
          <w:tcPr>
            <w:tcW w:w="0" w:type="auto"/>
            <w:vAlign w:val="center"/>
          </w:tcPr>
          <w:p w:rsidR="00AD7FB0" w:rsidRDefault="00AD7FB0" w:rsidP="003A6EC8">
            <w:pPr>
              <w:spacing w:after="0"/>
              <w:ind w:firstLine="0"/>
              <w:jc w:val="center"/>
            </w:pPr>
            <w:r>
              <w:t>-0.175</w:t>
            </w:r>
          </w:p>
        </w:tc>
      </w:tr>
      <w:tr w:rsidR="00AD7FB0" w:rsidTr="003A6EC8">
        <w:tc>
          <w:tcPr>
            <w:tcW w:w="0" w:type="auto"/>
            <w:vAlign w:val="center"/>
          </w:tcPr>
          <w:p w:rsidR="00AD7FB0" w:rsidRDefault="00AD7FB0" w:rsidP="003A6EC8">
            <w:pPr>
              <w:spacing w:after="0"/>
              <w:ind w:firstLine="0"/>
            </w:pPr>
            <w:r>
              <w:t>Real &lt;= 22 &amp; Soci &gt; 19 &amp; Inve &gt; 18</w:t>
            </w:r>
          </w:p>
        </w:tc>
        <w:tc>
          <w:tcPr>
            <w:tcW w:w="0" w:type="auto"/>
            <w:vAlign w:val="center"/>
          </w:tcPr>
          <w:p w:rsidR="00AD7FB0" w:rsidRDefault="00AD7FB0" w:rsidP="003A6EC8">
            <w:pPr>
              <w:spacing w:after="0"/>
              <w:ind w:firstLine="0"/>
              <w:jc w:val="center"/>
            </w:pPr>
            <w:r>
              <w:t>0.138</w:t>
            </w:r>
          </w:p>
        </w:tc>
      </w:tr>
      <w:tr w:rsidR="00AD7FB0" w:rsidTr="003A6EC8">
        <w:tc>
          <w:tcPr>
            <w:tcW w:w="0" w:type="auto"/>
            <w:vAlign w:val="center"/>
          </w:tcPr>
          <w:p w:rsidR="00AD7FB0" w:rsidRDefault="00AD7FB0" w:rsidP="003A6EC8">
            <w:pPr>
              <w:spacing w:after="0"/>
              <w:ind w:firstLine="0"/>
            </w:pPr>
            <w:r>
              <w:t>Inve &gt; 10 &amp; Real &lt;= 13</w:t>
            </w:r>
          </w:p>
        </w:tc>
        <w:tc>
          <w:tcPr>
            <w:tcW w:w="0" w:type="auto"/>
            <w:vAlign w:val="center"/>
          </w:tcPr>
          <w:p w:rsidR="00AD7FB0" w:rsidRDefault="00AD7FB0" w:rsidP="003A6EC8">
            <w:pPr>
              <w:spacing w:after="0"/>
              <w:ind w:firstLine="0"/>
              <w:jc w:val="center"/>
            </w:pPr>
            <w:r>
              <w:t>0.120</w:t>
            </w:r>
          </w:p>
        </w:tc>
      </w:tr>
      <w:tr w:rsidR="00AD7FB0" w:rsidTr="003A6EC8">
        <w:tc>
          <w:tcPr>
            <w:tcW w:w="0" w:type="auto"/>
            <w:tcBorders>
              <w:bottom w:val="single" w:sz="4" w:space="0" w:color="auto"/>
            </w:tcBorders>
            <w:vAlign w:val="center"/>
          </w:tcPr>
          <w:p w:rsidR="00AD7FB0" w:rsidRDefault="00AD7FB0" w:rsidP="003A6EC8">
            <w:pPr>
              <w:spacing w:after="0"/>
              <w:ind w:firstLine="0"/>
            </w:pPr>
            <w:r>
              <w:t>Conv &lt;= 23 &amp; Arti &lt;= 29 &amp; Soci &gt; 21</w:t>
            </w:r>
          </w:p>
        </w:tc>
        <w:tc>
          <w:tcPr>
            <w:tcW w:w="0" w:type="auto"/>
            <w:tcBorders>
              <w:bottom w:val="single" w:sz="4" w:space="0" w:color="auto"/>
            </w:tcBorders>
            <w:vAlign w:val="center"/>
          </w:tcPr>
          <w:p w:rsidR="00AD7FB0" w:rsidRDefault="00AD7FB0" w:rsidP="003A6EC8">
            <w:pPr>
              <w:spacing w:after="0"/>
              <w:ind w:firstLine="0"/>
              <w:jc w:val="center"/>
            </w:pPr>
            <w:r>
              <w:t>0.112</w:t>
            </w:r>
          </w:p>
        </w:tc>
      </w:tr>
    </w:tbl>
    <w:p w:rsidR="00AD7FB0" w:rsidRDefault="00AD7FB0" w:rsidP="00AD7FB0">
      <w:pPr>
        <w:ind w:firstLine="0"/>
      </w:pPr>
    </w:p>
    <w:p w:rsidR="00064ED8" w:rsidRDefault="00AD7FB0" w:rsidP="00AD7FB0">
      <w:pPr>
        <w:spacing w:line="259" w:lineRule="auto"/>
        <w:ind w:firstLine="0"/>
      </w:pPr>
      <w:r>
        <w:br w:type="page"/>
      </w:r>
      <w:bookmarkStart w:id="0" w:name="_GoBack"/>
      <w:bookmarkEnd w:id="0"/>
    </w:p>
    <w:p w:rsidR="00064ED8" w:rsidRDefault="00064ED8" w:rsidP="00AD7FB0">
      <w:pPr>
        <w:ind w:firstLine="0"/>
      </w:pPr>
    </w:p>
    <w:sectPr w:rsidR="00064E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D8"/>
    <w:rsid w:val="00064ED8"/>
    <w:rsid w:val="00AD7FB0"/>
    <w:rsid w:val="00AF5515"/>
    <w:rsid w:val="00FA16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A792"/>
  <w15:chartTrackingRefBased/>
  <w15:docId w15:val="{4085578C-60C1-4EF9-B4E5-BBC1D2C7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D8"/>
    <w:pPr>
      <w:spacing w:line="480" w:lineRule="auto"/>
      <w:ind w:firstLine="720"/>
    </w:pPr>
    <w:rPr>
      <w:rFonts w:ascii="Times New Roman"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Universiteit Leiden</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Fokkema, M. (Marjolein)</dc:creator>
  <cp:keywords/>
  <dc:description/>
  <cp:lastModifiedBy>Fokkema, M. (Marjolein)</cp:lastModifiedBy>
  <cp:revision>1</cp:revision>
  <dcterms:created xsi:type="dcterms:W3CDTF">2022-03-28T23:03:00Z</dcterms:created>
  <dcterms:modified xsi:type="dcterms:W3CDTF">2022-03-28T23:32:00Z</dcterms:modified>
</cp:coreProperties>
</file>