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0153FF0F" w:rsidR="00966A48" w:rsidRDefault="00000000">
      <w:pPr>
        <w:spacing w:before="122"/>
        <w:ind w:left="136"/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 w:rsidR="008A09BF">
        <w:rPr>
          <w:color w:val="001F5F"/>
        </w:rPr>
        <w:t xml:space="preserve">business </w:t>
      </w:r>
      <w:r w:rsidR="00F61806">
        <w:rPr>
          <w:color w:val="001F5F"/>
        </w:rPr>
        <w:t>development, commercial</w:t>
      </w:r>
      <w:r>
        <w:rPr>
          <w:color w:val="001F5F"/>
        </w:rPr>
        <w:t>,</w:t>
      </w:r>
      <w:r>
        <w:rPr>
          <w:color w:val="001F5F"/>
          <w:spacing w:val="3"/>
        </w:rPr>
        <w:t xml:space="preserve"> </w:t>
      </w:r>
      <w:r w:rsidR="008A09BF">
        <w:rPr>
          <w:color w:val="001F5F"/>
        </w:rPr>
        <w:t xml:space="preserve">opening new markets </w:t>
      </w:r>
      <w:r>
        <w:rPr>
          <w:color w:val="001F5F"/>
        </w:rPr>
        <w:t>and</w:t>
      </w:r>
      <w:r>
        <w:rPr>
          <w:color w:val="001F5F"/>
          <w:spacing w:val="-46"/>
        </w:rPr>
        <w:t xml:space="preserve"> </w:t>
      </w:r>
      <w:r w:rsidR="008A09BF">
        <w:rPr>
          <w:color w:val="001F5F"/>
          <w:spacing w:val="-46"/>
        </w:rPr>
        <w:t xml:space="preserve"> </w:t>
      </w:r>
      <w:r w:rsidR="00F61806">
        <w:rPr>
          <w:color w:val="001F5F"/>
          <w:spacing w:val="-46"/>
        </w:rPr>
        <w:t xml:space="preserve">  </w:t>
      </w:r>
      <w:r>
        <w:rPr>
          <w:color w:val="001F5F"/>
        </w:rPr>
        <w:t>project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areas.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31B8CBDC" w14:textId="77777777" w:rsidR="00781FBB" w:rsidRPr="00781FBB" w:rsidRDefault="00781FBB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Negotiation, build relationship, analytical and interpersonal skills.</w:t>
      </w:r>
    </w:p>
    <w:p w14:paraId="20DDCD5F" w14:textId="090F799A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 w:rsidR="008A09BF">
        <w:rPr>
          <w:color w:val="001F5F"/>
        </w:rPr>
        <w:t>sales</w:t>
      </w:r>
      <w:r>
        <w:rPr>
          <w:color w:val="001F5F"/>
        </w:rPr>
        <w:t>,</w:t>
      </w:r>
      <w:r>
        <w:rPr>
          <w:color w:val="001F5F"/>
          <w:spacing w:val="-2"/>
        </w:rPr>
        <w:t xml:space="preserve"> </w:t>
      </w:r>
      <w:r w:rsidR="008A09BF">
        <w:rPr>
          <w:color w:val="001F5F"/>
        </w:rPr>
        <w:t>investigating client opportunities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opening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businesses.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174575C8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Global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food</w:t>
      </w:r>
      <w:r w:rsidR="00781FBB">
        <w:rPr>
          <w:color w:val="001F5F"/>
        </w:rPr>
        <w:t xml:space="preserve"> 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agricultural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sectors.</w:t>
      </w:r>
    </w:p>
    <w:p w14:paraId="1E69504C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77777777" w:rsidR="00966A48" w:rsidRPr="008A09BF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56829F6D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="00781FBB">
        <w:rPr>
          <w:b/>
          <w:bCs/>
          <w:color w:val="001F5F"/>
        </w:rPr>
        <w:t>GLOBAL AGRI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  <w:rPr>
          <w:color w:val="001F5F"/>
        </w:rPr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36ED8215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="00781FBB">
        <w:rPr>
          <w:b/>
          <w:bCs/>
          <w:color w:val="001F5F"/>
          <w:sz w:val="22"/>
        </w:rPr>
        <w:t>&amp; Business Development Manager</w:t>
      </w:r>
      <w:r w:rsidRPr="00FD22D7">
        <w:rPr>
          <w:b/>
          <w:bCs/>
          <w:color w:val="001F5F"/>
          <w:sz w:val="22"/>
        </w:rPr>
        <w:t>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0E6C81C6" w:rsidR="00966A48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 w:rsidR="00781FBB">
        <w:rPr>
          <w:color w:val="001F5F"/>
        </w:rPr>
        <w:t>research,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 w:rsidR="00781FBB">
        <w:rPr>
          <w:color w:val="001F5F"/>
        </w:rPr>
        <w:t>marke</w:t>
      </w:r>
      <w:r>
        <w:rPr>
          <w:color w:val="001F5F"/>
        </w:rPr>
        <w:t>ts.</w:t>
      </w:r>
      <w:r>
        <w:rPr>
          <w:color w:val="001F5F"/>
          <w:spacing w:val="-5"/>
        </w:rPr>
        <w:t xml:space="preserve"> </w:t>
      </w:r>
      <w:r w:rsidR="00781FBB">
        <w:rPr>
          <w:color w:val="001F5F"/>
          <w:spacing w:val="-5"/>
        </w:rPr>
        <w:t xml:space="preserve">Established and execute the annual commercial plan in collaboration with internal &amp; external customers.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"/>
        </w:rPr>
        <w:t xml:space="preserve"> </w:t>
      </w:r>
      <w:r w:rsidR="00781FBB">
        <w:rPr>
          <w:color w:val="001F5F"/>
        </w:rPr>
        <w:t>customer</w:t>
      </w:r>
      <w:r w:rsidR="00781FBB">
        <w:rPr>
          <w:color w:val="001F5F"/>
          <w:spacing w:val="-7"/>
        </w:rPr>
        <w:t xml:space="preserve"> </w:t>
      </w:r>
      <w:r w:rsidR="00781FBB">
        <w:rPr>
          <w:color w:val="001F5F"/>
        </w:rPr>
        <w:t xml:space="preserve">service &amp; </w:t>
      </w:r>
      <w:r>
        <w:rPr>
          <w:color w:val="001F5F"/>
        </w:rPr>
        <w:t>local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team,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global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supply.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3BEA0D6D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 xml:space="preserve">Managed the transformation of focus from bulk to retail business. Developed relationships with </w:t>
      </w:r>
      <w:r w:rsidR="00F61806">
        <w:rPr>
          <w:color w:val="001F5F"/>
          <w:sz w:val="20"/>
        </w:rPr>
        <w:t xml:space="preserve">high quality </w:t>
      </w:r>
      <w:r>
        <w:rPr>
          <w:color w:val="001F5F"/>
          <w:sz w:val="20"/>
        </w:rPr>
        <w:t>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4EE34D2C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  <w:r w:rsidR="00D175C5">
        <w:rPr>
          <w:color w:val="001F5F"/>
        </w:rPr>
        <w:t xml:space="preserve"> Develop the commercial strategy.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370FE414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64D49453" w:rsidR="00966A48" w:rsidRDefault="00000000" w:rsidP="00F61806">
      <w:pPr>
        <w:pStyle w:val="Textoindependiente"/>
        <w:ind w:left="136"/>
        <w:jc w:val="both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 w:rsidR="00D175C5">
        <w:rPr>
          <w:color w:val="001F5F"/>
        </w:rPr>
        <w:t xml:space="preserve"> research and chase new business opportunities,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 w:rsidR="00D175C5"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77777777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480B6C45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0963C70B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7E883773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region's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exports;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organizing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fairs.</w:t>
      </w:r>
      <w:r w:rsidR="00F61806">
        <w:rPr>
          <w:color w:val="001F5F"/>
          <w:sz w:val="20"/>
        </w:rPr>
        <w:t xml:space="preserve"> Encouraging the entrepreneurial spirit through acquiring technology to make the products exportable.</w:t>
      </w:r>
    </w:p>
    <w:p w14:paraId="1CA5CA88" w14:textId="6C244DE8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Pr="008A09BF" w:rsidRDefault="00000000">
      <w:pPr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Ignacio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de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Loyola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-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Pr="008A09BF" w:rsidRDefault="00000000">
      <w:pPr>
        <w:spacing w:line="267" w:lineRule="exact"/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Martin de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Porres</w:t>
      </w:r>
      <w:r w:rsidRPr="008A09BF">
        <w:rPr>
          <w:color w:val="001F5F"/>
          <w:spacing w:val="1"/>
          <w:lang w:val="es-PE"/>
        </w:rPr>
        <w:t xml:space="preserve"> </w:t>
      </w:r>
      <w:r w:rsidRPr="008A09BF">
        <w:rPr>
          <w:color w:val="001F5F"/>
          <w:lang w:val="es-PE"/>
        </w:rPr>
        <w:t>–</w:t>
      </w:r>
      <w:r w:rsidRPr="008A09BF">
        <w:rPr>
          <w:color w:val="001F5F"/>
          <w:spacing w:val="-4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2E9C93E9" w14:textId="77777777" w:rsidR="00966A48" w:rsidRPr="008A09BF" w:rsidRDefault="00966A48">
      <w:pPr>
        <w:pStyle w:val="Textoindependiente"/>
        <w:spacing w:before="1"/>
        <w:ind w:left="0"/>
        <w:rPr>
          <w:sz w:val="22"/>
          <w:lang w:val="es-PE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8A09BF">
        <w:rPr>
          <w:b/>
          <w:bCs/>
          <w:color w:val="001F5F"/>
          <w:spacing w:val="-26"/>
          <w:shd w:val="clear" w:color="auto" w:fill="D9D9D9"/>
          <w:lang w:val="es-PE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73BB398E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121384"/>
    <w:rsid w:val="0021144C"/>
    <w:rsid w:val="005D70A6"/>
    <w:rsid w:val="00781FBB"/>
    <w:rsid w:val="008A09BF"/>
    <w:rsid w:val="00966A48"/>
    <w:rsid w:val="00D175C5"/>
    <w:rsid w:val="00F61806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09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3</cp:revision>
  <cp:lastPrinted>2023-02-14T04:03:00Z</cp:lastPrinted>
  <dcterms:created xsi:type="dcterms:W3CDTF">2023-04-30T22:45:00Z</dcterms:created>
  <dcterms:modified xsi:type="dcterms:W3CDTF">2023-04-30T22:54:00Z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