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40"/>
          <w:szCs w:val="40"/>
        </w:rPr>
        <w:t xml:space="preserve">A Machine Learning Framework for Optimising Player Bonus Allocation</w:t>
      </w:r>
    </w:p>
    <w:p>
      <w:pPr>
        <w:spacing w:after="100"/>
        <w:jc w:val="center"/>
      </w:pPr>
      <w:r>
        <w:rPr>
          <w:rFonts w:ascii="Times New Roman" w:cs="Times New Roman" w:eastAsia="Times New Roman" w:hAnsi="Times New Roman"/>
          <w:sz w:val="28"/>
          <w:szCs w:val="28"/>
        </w:rPr>
        <w:t xml:space="preserve">Using Causal Inference and Uplift Modelling</w:t>
      </w:r>
    </w:p>
    <w:p>
      <w:pPr>
        <w:spacing w:after="200"/>
        <w:jc w:val="center"/>
      </w:pPr>
      <w:r>
        <w:rPr>
          <w:rFonts w:ascii="Times New Roman" w:cs="Times New Roman" w:eastAsia="Times New Roman" w:hAnsi="Times New Roman"/>
          <w:i/>
          <w:iCs/>
          <w:sz w:val="24"/>
          <w:szCs w:val="24"/>
        </w:rPr>
        <w:t xml:space="preserve">A Technical Framework for the Gaming Industry</w:t>
      </w:r>
    </w:p>
    <w:p>
      <w:pPr>
        <w:spacing w:after="100"/>
        <w:jc w:val="center"/>
      </w:pPr>
      <w:r>
        <w:rPr>
          <w:rFonts w:ascii="Times New Roman" w:cs="Times New Roman" w:eastAsia="Times New Roman" w:hAnsi="Times New Roman"/>
          <w:b/>
          <w:bCs/>
          <w:sz w:val="26"/>
          <w:szCs w:val="26"/>
        </w:rPr>
        <w:t xml:space="preserve">Mark Stent</w:t>
      </w:r>
    </w:p>
    <w:p>
      <w:pPr>
        <w:spacing w:after="400"/>
        <w:jc w:val="center"/>
      </w:pPr>
      <w:r>
        <w:rPr>
          <w:rFonts w:ascii="Times New Roman" w:cs="Times New Roman" w:eastAsia="Times New Roman" w:hAnsi="Times New Roman"/>
          <w:sz w:val="22"/>
          <w:szCs w:val="22"/>
        </w:rPr>
        <w:t xml:space="preserve">January 2026</w:t>
      </w:r>
    </w:p>
    <w:p>
      <w:pPr>
        <w:pStyle w:val="Heading1"/>
      </w:pPr>
      <w:r>
        <w:t xml:space="preserve">Abstract</w:t>
      </w:r>
    </w:p>
    <w:p>
      <w:pPr>
        <w:spacing w:after="200" w:line="276"/>
      </w:pPr>
      <w:r>
        <w:rPr>
          <w:rFonts w:ascii="Times New Roman" w:cs="Times New Roman" w:eastAsia="Times New Roman" w:hAnsi="Times New Roman"/>
          <w:sz w:val="24"/>
          <w:szCs w:val="24"/>
        </w:rPr>
        <w:t xml:space="preserve">This paper presents a comprehensive machine learning framework for optimising player bonus allocation in the gaming industry. Traditional bonus strategies often waste resources on players who would engage regardless of incentives, or fail to reach those who could be persuaded. Our framework addresses this challenge through uplift modelling, a causal inference technique that identifies players whose behaviour will change specifically because of a bonus intervention (Gutierrez and Gérardy, 2017). We combine uplift predictions with lifetime value (LTV) estimation and churn probability models to create a unified optimisation system that maximises incremental revenue while minimising wasted spend. The framework includes a complete operational architecture covering experiment design, model training, scoring pipelines, and continuous learning loops. Through an illustrative simulation, worked examples, and review of empirical literature, we show how this approach can improve return on marketing investment compared to traditional segmentation-based methods. The theoretical foundations are consistent with field experiments demonstrating meaningful improvements in targeting efficiency and retention outcomes (Ascarza, 2018; Radcliffe and Surry, 2011), though validation on production gaming data remains a direction for future work.</w:t>
      </w:r>
    </w:p>
    <w:p>
      <w:r>
        <w:br w:type="page"/>
      </w:r>
    </w:p>
    <w:p>
      <w:pPr>
        <w:pStyle w:val="Heading1"/>
      </w:pPr>
      <w:r>
        <w:t xml:space="preserve">Table of Contents</w:t>
      </w:r>
    </w:p>
    <w:p>
      <w:pPr>
        <w:spacing w:after="200"/>
      </w:pPr>
    </w:p>
    <w:p>
      <w:pPr>
        <w:spacing w:after="80"/>
      </w:pPr>
      <w:r>
        <w:rPr>
          <w:rFonts w:ascii="Times New Roman" w:cs="Times New Roman" w:eastAsia="Times New Roman" w:hAnsi="Times New Roman"/>
          <w:sz w:val="24"/>
          <w:szCs w:val="24"/>
        </w:rPr>
        <w:t xml:space="preserve">Abstract</w:t>
      </w:r>
    </w:p>
    <w:p>
      <w:pPr>
        <w:spacing w:after="80"/>
      </w:pPr>
      <w:r>
        <w:rPr>
          <w:rFonts w:ascii="Times New Roman" w:cs="Times New Roman" w:eastAsia="Times New Roman" w:hAnsi="Times New Roman"/>
          <w:sz w:val="24"/>
          <w:szCs w:val="24"/>
        </w:rPr>
        <w:t xml:space="preserve">1. Introduction</w:t>
      </w:r>
    </w:p>
    <w:p>
      <w:pPr>
        <w:spacing w:after="60"/>
        <w:ind w:left="400"/>
      </w:pPr>
      <w:r>
        <w:rPr>
          <w:rFonts w:ascii="Times New Roman" w:cs="Times New Roman" w:eastAsia="Times New Roman" w:hAnsi="Times New Roman"/>
          <w:sz w:val="22"/>
          <w:szCs w:val="22"/>
        </w:rPr>
        <w:t xml:space="preserve">1.1 The Challenge of Bonus Allocation</w:t>
      </w:r>
    </w:p>
    <w:p>
      <w:pPr>
        <w:spacing w:after="60"/>
        <w:ind w:left="400"/>
      </w:pPr>
      <w:r>
        <w:rPr>
          <w:rFonts w:ascii="Times New Roman" w:cs="Times New Roman" w:eastAsia="Times New Roman" w:hAnsi="Times New Roman"/>
          <w:sz w:val="22"/>
          <w:szCs w:val="22"/>
        </w:rPr>
        <w:t xml:space="preserve">1.2 The Promise of Uplift Modelling</w:t>
      </w:r>
    </w:p>
    <w:p>
      <w:pPr>
        <w:spacing w:after="60"/>
        <w:ind w:left="400"/>
      </w:pPr>
      <w:r>
        <w:rPr>
          <w:rFonts w:ascii="Times New Roman" w:cs="Times New Roman" w:eastAsia="Times New Roman" w:hAnsi="Times New Roman"/>
          <w:sz w:val="22"/>
          <w:szCs w:val="22"/>
        </w:rPr>
        <w:t xml:space="preserve">1.3 Scope and Contributions</w:t>
      </w:r>
    </w:p>
    <w:p>
      <w:pPr>
        <w:spacing w:after="80"/>
      </w:pPr>
      <w:r>
        <w:rPr>
          <w:rFonts w:ascii="Times New Roman" w:cs="Times New Roman" w:eastAsia="Times New Roman" w:hAnsi="Times New Roman"/>
          <w:sz w:val="24"/>
          <w:szCs w:val="24"/>
        </w:rPr>
        <w:t xml:space="preserve">2. Background and Business Motivation</w:t>
      </w:r>
    </w:p>
    <w:p>
      <w:pPr>
        <w:spacing w:after="60"/>
        <w:ind w:left="400"/>
      </w:pPr>
      <w:r>
        <w:rPr>
          <w:rFonts w:ascii="Times New Roman" w:cs="Times New Roman" w:eastAsia="Times New Roman" w:hAnsi="Times New Roman"/>
          <w:sz w:val="22"/>
          <w:szCs w:val="22"/>
        </w:rPr>
        <w:t xml:space="preserve">2.1 The Economics of Player Bonuses</w:t>
      </w:r>
    </w:p>
    <w:p>
      <w:pPr>
        <w:spacing w:after="60"/>
        <w:ind w:left="400"/>
      </w:pPr>
      <w:r>
        <w:rPr>
          <w:rFonts w:ascii="Times New Roman" w:cs="Times New Roman" w:eastAsia="Times New Roman" w:hAnsi="Times New Roman"/>
          <w:sz w:val="22"/>
          <w:szCs w:val="22"/>
        </w:rPr>
        <w:t xml:space="preserve">2.2 The Four Player Segments</w:t>
      </w:r>
    </w:p>
    <w:p>
      <w:pPr>
        <w:spacing w:after="80"/>
      </w:pPr>
      <w:r>
        <w:rPr>
          <w:rFonts w:ascii="Times New Roman" w:cs="Times New Roman" w:eastAsia="Times New Roman" w:hAnsi="Times New Roman"/>
          <w:sz w:val="24"/>
          <w:szCs w:val="24"/>
        </w:rPr>
        <w:t xml:space="preserve">3. Business Applications and Problems Solved</w:t>
      </w:r>
    </w:p>
    <w:p>
      <w:pPr>
        <w:spacing w:after="60"/>
        <w:ind w:left="400"/>
      </w:pPr>
      <w:r>
        <w:rPr>
          <w:rFonts w:ascii="Times New Roman" w:cs="Times New Roman" w:eastAsia="Times New Roman" w:hAnsi="Times New Roman"/>
          <w:sz w:val="22"/>
          <w:szCs w:val="22"/>
        </w:rPr>
        <w:t xml:space="preserve">3.1 Customer Retention and Churn Prevention</w:t>
      </w:r>
    </w:p>
    <w:p>
      <w:pPr>
        <w:spacing w:after="60"/>
        <w:ind w:left="400"/>
      </w:pPr>
      <w:r>
        <w:rPr>
          <w:rFonts w:ascii="Times New Roman" w:cs="Times New Roman" w:eastAsia="Times New Roman" w:hAnsi="Times New Roman"/>
          <w:sz w:val="22"/>
          <w:szCs w:val="22"/>
        </w:rPr>
        <w:t xml:space="preserve">3.2 Marketing Budget Optimisation</w:t>
      </w:r>
    </w:p>
    <w:p>
      <w:pPr>
        <w:spacing w:after="60"/>
        <w:ind w:left="400"/>
      </w:pPr>
      <w:r>
        <w:rPr>
          <w:rFonts w:ascii="Times New Roman" w:cs="Times New Roman" w:eastAsia="Times New Roman" w:hAnsi="Times New Roman"/>
          <w:sz w:val="22"/>
          <w:szCs w:val="22"/>
        </w:rPr>
        <w:t xml:space="preserve">3.3 Personalised Offer Optimisation</w:t>
      </w:r>
    </w:p>
    <w:p>
      <w:pPr>
        <w:spacing w:after="60"/>
        <w:ind w:left="400"/>
      </w:pPr>
      <w:r>
        <w:rPr>
          <w:rFonts w:ascii="Times New Roman" w:cs="Times New Roman" w:eastAsia="Times New Roman" w:hAnsi="Times New Roman"/>
          <w:sz w:val="22"/>
          <w:szCs w:val="22"/>
        </w:rPr>
        <w:t xml:space="preserve">3.4 Customer Reactivation</w:t>
      </w:r>
    </w:p>
    <w:p>
      <w:pPr>
        <w:spacing w:after="60"/>
        <w:ind w:left="400"/>
      </w:pPr>
      <w:r>
        <w:rPr>
          <w:rFonts w:ascii="Times New Roman" w:cs="Times New Roman" w:eastAsia="Times New Roman" w:hAnsi="Times New Roman"/>
          <w:sz w:val="22"/>
          <w:szCs w:val="22"/>
        </w:rPr>
        <w:t xml:space="preserve">3.5 Cross-Sell and Upsell Optimisation</w:t>
      </w:r>
    </w:p>
    <w:p>
      <w:pPr>
        <w:spacing w:after="60"/>
        <w:ind w:left="400"/>
      </w:pPr>
      <w:r>
        <w:rPr>
          <w:rFonts w:ascii="Times New Roman" w:cs="Times New Roman" w:eastAsia="Times New Roman" w:hAnsi="Times New Roman"/>
          <w:sz w:val="22"/>
          <w:szCs w:val="22"/>
        </w:rPr>
        <w:t xml:space="preserve">3.6 Responsible Gaming Interventions</w:t>
      </w:r>
    </w:p>
    <w:p>
      <w:pPr>
        <w:spacing w:after="80"/>
      </w:pPr>
      <w:r>
        <w:rPr>
          <w:rFonts w:ascii="Times New Roman" w:cs="Times New Roman" w:eastAsia="Times New Roman" w:hAnsi="Times New Roman"/>
          <w:sz w:val="24"/>
          <w:szCs w:val="24"/>
        </w:rPr>
        <w:t xml:space="preserve">4. System Architecture Overview</w:t>
      </w:r>
    </w:p>
    <w:p>
      <w:pPr>
        <w:spacing w:after="80"/>
      </w:pPr>
      <w:r>
        <w:rPr>
          <w:rFonts w:ascii="Times New Roman" w:cs="Times New Roman" w:eastAsia="Times New Roman" w:hAnsi="Times New Roman"/>
          <w:sz w:val="24"/>
          <w:szCs w:val="24"/>
        </w:rPr>
        <w:t xml:space="preserve">5. Methodology</w:t>
      </w:r>
    </w:p>
    <w:p>
      <w:pPr>
        <w:spacing w:after="60"/>
        <w:ind w:left="400"/>
      </w:pPr>
      <w:r>
        <w:rPr>
          <w:rFonts w:ascii="Times New Roman" w:cs="Times New Roman" w:eastAsia="Times New Roman" w:hAnsi="Times New Roman"/>
          <w:sz w:val="22"/>
          <w:szCs w:val="22"/>
        </w:rPr>
        <w:t xml:space="preserve">5.1 Experimental Design</w:t>
      </w:r>
    </w:p>
    <w:p>
      <w:pPr>
        <w:spacing w:after="60"/>
        <w:ind w:left="400"/>
      </w:pPr>
      <w:r>
        <w:rPr>
          <w:rFonts w:ascii="Times New Roman" w:cs="Times New Roman" w:eastAsia="Times New Roman" w:hAnsi="Times New Roman"/>
          <w:sz w:val="22"/>
          <w:szCs w:val="22"/>
        </w:rPr>
        <w:t xml:space="preserve">5.2 Feature Engineering</w:t>
      </w:r>
    </w:p>
    <w:p>
      <w:pPr>
        <w:spacing w:after="60"/>
        <w:ind w:left="400"/>
      </w:pPr>
      <w:r>
        <w:rPr>
          <w:rFonts w:ascii="Times New Roman" w:cs="Times New Roman" w:eastAsia="Times New Roman" w:hAnsi="Times New Roman"/>
          <w:sz w:val="22"/>
          <w:szCs w:val="22"/>
        </w:rPr>
        <w:t xml:space="preserve">5.3 The Uplift Modelling Approach</w:t>
      </w:r>
    </w:p>
    <w:p>
      <w:pPr>
        <w:spacing w:after="80"/>
      </w:pPr>
      <w:r>
        <w:rPr>
          <w:rFonts w:ascii="Times New Roman" w:cs="Times New Roman" w:eastAsia="Times New Roman" w:hAnsi="Times New Roman"/>
          <w:sz w:val="24"/>
          <w:szCs w:val="24"/>
        </w:rPr>
        <w:t xml:space="preserve">6. Multi-Model Architecture</w:t>
      </w:r>
    </w:p>
    <w:p>
      <w:pPr>
        <w:spacing w:after="60"/>
        <w:ind w:left="400"/>
      </w:pPr>
      <w:r>
        <w:rPr>
          <w:rFonts w:ascii="Times New Roman" w:cs="Times New Roman" w:eastAsia="Times New Roman" w:hAnsi="Times New Roman"/>
          <w:sz w:val="22"/>
          <w:szCs w:val="22"/>
        </w:rPr>
        <w:t xml:space="preserve">6.1 Lifetime Value (LTV) Model</w:t>
      </w:r>
    </w:p>
    <w:p>
      <w:pPr>
        <w:spacing w:after="60"/>
        <w:ind w:left="400"/>
      </w:pPr>
      <w:r>
        <w:rPr>
          <w:rFonts w:ascii="Times New Roman" w:cs="Times New Roman" w:eastAsia="Times New Roman" w:hAnsi="Times New Roman"/>
          <w:sz w:val="22"/>
          <w:szCs w:val="22"/>
        </w:rPr>
        <w:t xml:space="preserve">6.2 Churn Probability Model</w:t>
      </w:r>
    </w:p>
    <w:p>
      <w:pPr>
        <w:spacing w:after="60"/>
        <w:ind w:left="400"/>
      </w:pPr>
      <w:r>
        <w:rPr>
          <w:rFonts w:ascii="Times New Roman" w:cs="Times New Roman" w:eastAsia="Times New Roman" w:hAnsi="Times New Roman"/>
          <w:sz w:val="22"/>
          <w:szCs w:val="22"/>
        </w:rPr>
        <w:t xml:space="preserve">6.3 Combining Model Outputs</w:t>
      </w:r>
    </w:p>
    <w:p>
      <w:pPr>
        <w:spacing w:after="80"/>
      </w:pPr>
      <w:r>
        <w:rPr>
          <w:rFonts w:ascii="Times New Roman" w:cs="Times New Roman" w:eastAsia="Times New Roman" w:hAnsi="Times New Roman"/>
          <w:sz w:val="24"/>
          <w:szCs w:val="24"/>
        </w:rPr>
        <w:t xml:space="preserve">7. Operational Framework</w:t>
      </w:r>
    </w:p>
    <w:p>
      <w:pPr>
        <w:spacing w:after="60"/>
        <w:ind w:left="400"/>
      </w:pPr>
      <w:r>
        <w:rPr>
          <w:rFonts w:ascii="Times New Roman" w:cs="Times New Roman" w:eastAsia="Times New Roman" w:hAnsi="Times New Roman"/>
          <w:sz w:val="22"/>
          <w:szCs w:val="22"/>
        </w:rPr>
        <w:t xml:space="preserve">7.1 Data Architecture</w:t>
      </w:r>
    </w:p>
    <w:p>
      <w:pPr>
        <w:spacing w:after="60"/>
        <w:ind w:left="400"/>
      </w:pPr>
      <w:r>
        <w:rPr>
          <w:rFonts w:ascii="Times New Roman" w:cs="Times New Roman" w:eastAsia="Times New Roman" w:hAnsi="Times New Roman"/>
          <w:sz w:val="22"/>
          <w:szCs w:val="22"/>
        </w:rPr>
        <w:t xml:space="preserve">7.2 Rescoring vs. Retraining</w:t>
      </w:r>
    </w:p>
    <w:p>
      <w:pPr>
        <w:spacing w:after="60"/>
        <w:ind w:left="400"/>
      </w:pPr>
      <w:r>
        <w:rPr>
          <w:rFonts w:ascii="Times New Roman" w:cs="Times New Roman" w:eastAsia="Times New Roman" w:hAnsi="Times New Roman"/>
          <w:sz w:val="22"/>
          <w:szCs w:val="22"/>
        </w:rPr>
        <w:t xml:space="preserve">7.3 Business Rules Layer</w:t>
      </w:r>
    </w:p>
    <w:p>
      <w:pPr>
        <w:spacing w:after="60"/>
        <w:ind w:left="400"/>
      </w:pPr>
      <w:r>
        <w:rPr>
          <w:rFonts w:ascii="Times New Roman" w:cs="Times New Roman" w:eastAsia="Times New Roman" w:hAnsi="Times New Roman"/>
          <w:sz w:val="22"/>
          <w:szCs w:val="22"/>
        </w:rPr>
        <w:t xml:space="preserve">7.4 Continuous Learning</w:t>
      </w:r>
    </w:p>
    <w:p>
      <w:pPr>
        <w:spacing w:after="80"/>
      </w:pPr>
      <w:r>
        <w:rPr>
          <w:rFonts w:ascii="Times New Roman" w:cs="Times New Roman" w:eastAsia="Times New Roman" w:hAnsi="Times New Roman"/>
          <w:sz w:val="24"/>
          <w:szCs w:val="24"/>
        </w:rPr>
        <w:t xml:space="preserve">8. Worked Example</w:t>
      </w:r>
    </w:p>
    <w:p>
      <w:pPr>
        <w:spacing w:after="60"/>
        <w:ind w:left="400"/>
      </w:pPr>
      <w:r>
        <w:rPr>
          <w:rFonts w:ascii="Times New Roman" w:cs="Times New Roman" w:eastAsia="Times New Roman" w:hAnsi="Times New Roman"/>
          <w:sz w:val="22"/>
          <w:szCs w:val="22"/>
        </w:rPr>
        <w:t xml:space="preserve">8.1 Initial State</w:t>
      </w:r>
    </w:p>
    <w:p>
      <w:pPr>
        <w:spacing w:after="60"/>
        <w:ind w:left="400"/>
      </w:pPr>
      <w:r>
        <w:rPr>
          <w:rFonts w:ascii="Times New Roman" w:cs="Times New Roman" w:eastAsia="Times New Roman" w:hAnsi="Times New Roman"/>
          <w:sz w:val="22"/>
          <w:szCs w:val="22"/>
        </w:rPr>
        <w:t xml:space="preserve">8.2 Week Two: Behaviour Shifts</w:t>
      </w:r>
    </w:p>
    <w:p>
      <w:pPr>
        <w:spacing w:after="60"/>
        <w:ind w:left="400"/>
      </w:pPr>
      <w:r>
        <w:rPr>
          <w:rFonts w:ascii="Times New Roman" w:cs="Times New Roman" w:eastAsia="Times New Roman" w:hAnsi="Times New Roman"/>
          <w:sz w:val="22"/>
          <w:szCs w:val="22"/>
        </w:rPr>
        <w:t xml:space="preserve">8.3 Week Three: Successful Intervention</w:t>
      </w:r>
    </w:p>
    <w:p>
      <w:pPr>
        <w:spacing w:after="80"/>
      </w:pPr>
      <w:r>
        <w:rPr>
          <w:rFonts w:ascii="Times New Roman" w:cs="Times New Roman" w:eastAsia="Times New Roman" w:hAnsi="Times New Roman"/>
          <w:sz w:val="24"/>
          <w:szCs w:val="24"/>
        </w:rPr>
        <w:t xml:space="preserve">9. Model Validation and Performance Measurement</w:t>
      </w:r>
    </w:p>
    <w:p>
      <w:pPr>
        <w:spacing w:after="60"/>
        <w:ind w:left="400"/>
      </w:pPr>
      <w:r>
        <w:rPr>
          <w:rFonts w:ascii="Times New Roman" w:cs="Times New Roman" w:eastAsia="Times New Roman" w:hAnsi="Times New Roman"/>
          <w:sz w:val="22"/>
          <w:szCs w:val="22"/>
        </w:rPr>
        <w:t xml:space="preserve">9.1 Uplift Calibration</w:t>
      </w:r>
    </w:p>
    <w:p>
      <w:pPr>
        <w:spacing w:after="60"/>
        <w:ind w:left="400"/>
      </w:pPr>
      <w:r>
        <w:rPr>
          <w:rFonts w:ascii="Times New Roman" w:cs="Times New Roman" w:eastAsia="Times New Roman" w:hAnsi="Times New Roman"/>
          <w:sz w:val="22"/>
          <w:szCs w:val="22"/>
        </w:rPr>
        <w:t xml:space="preserve">9.2 Cumulative Gain Curves</w:t>
      </w:r>
    </w:p>
    <w:p>
      <w:pPr>
        <w:spacing w:after="60"/>
        <w:ind w:left="400"/>
      </w:pPr>
      <w:r>
        <w:rPr>
          <w:rFonts w:ascii="Times New Roman" w:cs="Times New Roman" w:eastAsia="Times New Roman" w:hAnsi="Times New Roman"/>
          <w:sz w:val="22"/>
          <w:szCs w:val="22"/>
        </w:rPr>
        <w:t xml:space="preserve">9.3 Production Monitoring</w:t>
      </w:r>
    </w:p>
    <w:p>
      <w:pPr>
        <w:spacing w:after="60"/>
        <w:ind w:left="400"/>
      </w:pPr>
      <w:r>
        <w:rPr>
          <w:rFonts w:ascii="Times New Roman" w:cs="Times New Roman" w:eastAsia="Times New Roman" w:hAnsi="Times New Roman"/>
          <w:sz w:val="22"/>
          <w:szCs w:val="22"/>
        </w:rPr>
        <w:t xml:space="preserve">9.4 Illustrative Simulation</w:t>
      </w:r>
    </w:p>
    <w:p>
      <w:pPr>
        <w:spacing w:after="80"/>
      </w:pPr>
      <w:r>
        <w:rPr>
          <w:rFonts w:ascii="Times New Roman" w:cs="Times New Roman" w:eastAsia="Times New Roman" w:hAnsi="Times New Roman"/>
          <w:sz w:val="24"/>
          <w:szCs w:val="24"/>
        </w:rPr>
        <w:t xml:space="preserve">10. Limitations and Practical Considerations</w:t>
      </w:r>
    </w:p>
    <w:p>
      <w:pPr>
        <w:spacing w:after="60"/>
        <w:ind w:left="400"/>
      </w:pPr>
      <w:r>
        <w:rPr>
          <w:rFonts w:ascii="Times New Roman" w:cs="Times New Roman" w:eastAsia="Times New Roman" w:hAnsi="Times New Roman"/>
          <w:sz w:val="22"/>
          <w:szCs w:val="22"/>
        </w:rPr>
        <w:t xml:space="preserve">10.1 Data Requirements</w:t>
      </w:r>
    </w:p>
    <w:p>
      <w:pPr>
        <w:spacing w:after="60"/>
        <w:ind w:left="400"/>
      </w:pPr>
      <w:r>
        <w:rPr>
          <w:rFonts w:ascii="Times New Roman" w:cs="Times New Roman" w:eastAsia="Times New Roman" w:hAnsi="Times New Roman"/>
          <w:sz w:val="22"/>
          <w:szCs w:val="22"/>
        </w:rPr>
        <w:t xml:space="preserve">10.2 Model Complexity</w:t>
      </w:r>
    </w:p>
    <w:p>
      <w:pPr>
        <w:spacing w:after="60"/>
        <w:ind w:left="400"/>
      </w:pPr>
      <w:r>
        <w:rPr>
          <w:rFonts w:ascii="Times New Roman" w:cs="Times New Roman" w:eastAsia="Times New Roman" w:hAnsi="Times New Roman"/>
          <w:sz w:val="22"/>
          <w:szCs w:val="22"/>
        </w:rPr>
        <w:t xml:space="preserve">10.3 Assumption Violations</w:t>
      </w:r>
    </w:p>
    <w:p>
      <w:pPr>
        <w:spacing w:after="60"/>
        <w:ind w:left="400"/>
      </w:pPr>
      <w:r>
        <w:rPr>
          <w:rFonts w:ascii="Times New Roman" w:cs="Times New Roman" w:eastAsia="Times New Roman" w:hAnsi="Times New Roman"/>
          <w:sz w:val="22"/>
          <w:szCs w:val="22"/>
        </w:rPr>
        <w:t xml:space="preserve">10.4 Long-Term Effects</w:t>
      </w:r>
    </w:p>
    <w:p>
      <w:pPr>
        <w:spacing w:after="60"/>
        <w:ind w:left="400"/>
      </w:pPr>
      <w:r>
        <w:rPr>
          <w:rFonts w:ascii="Times New Roman" w:cs="Times New Roman" w:eastAsia="Times New Roman" w:hAnsi="Times New Roman"/>
          <w:sz w:val="22"/>
          <w:szCs w:val="22"/>
        </w:rPr>
        <w:t xml:space="preserve">10.5 Strategic Player Behaviour</w:t>
      </w:r>
    </w:p>
    <w:p>
      <w:pPr>
        <w:spacing w:after="60"/>
        <w:ind w:left="400"/>
      </w:pPr>
      <w:r>
        <w:rPr>
          <w:rFonts w:ascii="Times New Roman" w:cs="Times New Roman" w:eastAsia="Times New Roman" w:hAnsi="Times New Roman"/>
          <w:sz w:val="22"/>
          <w:szCs w:val="22"/>
        </w:rPr>
        <w:t xml:space="preserve">10.6 Cold Start Problem</w:t>
      </w:r>
    </w:p>
    <w:p>
      <w:pPr>
        <w:spacing w:after="60"/>
        <w:ind w:left="400"/>
      </w:pPr>
      <w:r>
        <w:rPr>
          <w:rFonts w:ascii="Times New Roman" w:cs="Times New Roman" w:eastAsia="Times New Roman" w:hAnsi="Times New Roman"/>
          <w:sz w:val="22"/>
          <w:szCs w:val="22"/>
        </w:rPr>
        <w:t xml:space="preserve">10.7 Multiple Concurrent Treatments</w:t>
      </w:r>
    </w:p>
    <w:p>
      <w:pPr>
        <w:spacing w:after="60"/>
        <w:ind w:left="400"/>
      </w:pPr>
      <w:r>
        <w:rPr>
          <w:rFonts w:ascii="Times New Roman" w:cs="Times New Roman" w:eastAsia="Times New Roman" w:hAnsi="Times New Roman"/>
          <w:sz w:val="22"/>
          <w:szCs w:val="22"/>
        </w:rPr>
        <w:t xml:space="preserve">10.8 Ethical Considerations</w:t>
      </w:r>
    </w:p>
    <w:p>
      <w:pPr>
        <w:spacing w:after="80"/>
      </w:pPr>
      <w:r>
        <w:rPr>
          <w:rFonts w:ascii="Times New Roman" w:cs="Times New Roman" w:eastAsia="Times New Roman" w:hAnsi="Times New Roman"/>
          <w:sz w:val="24"/>
          <w:szCs w:val="24"/>
        </w:rPr>
        <w:t xml:space="preserve">11. Conclusion</w:t>
      </w:r>
    </w:p>
    <w:p>
      <w:pPr>
        <w:spacing w:after="80"/>
      </w:pPr>
      <w:r>
        <w:rPr>
          <w:rFonts w:ascii="Times New Roman" w:cs="Times New Roman" w:eastAsia="Times New Roman" w:hAnsi="Times New Roman"/>
          <w:sz w:val="24"/>
          <w:szCs w:val="24"/>
        </w:rPr>
        <w:t xml:space="preserve">References</w:t>
      </w:r>
    </w:p>
    <w:p>
      <w:pPr>
        <w:spacing w:before="200" w:after="100"/>
      </w:pPr>
      <w:r>
        <w:rPr>
          <w:rFonts w:ascii="Times New Roman" w:cs="Times New Roman" w:eastAsia="Times New Roman" w:hAnsi="Times New Roman"/>
          <w:b/>
          <w:bCs/>
          <w:sz w:val="24"/>
          <w:szCs w:val="24"/>
        </w:rPr>
        <w:t xml:space="preserve">List of Figures</w:t>
      </w:r>
    </w:p>
    <w:p>
      <w:pPr>
        <w:spacing w:after="60"/>
        <w:ind w:left="400"/>
      </w:pPr>
      <w:r>
        <w:rPr>
          <w:rFonts w:ascii="Times New Roman" w:cs="Times New Roman" w:eastAsia="Times New Roman" w:hAnsi="Times New Roman"/>
          <w:sz w:val="22"/>
          <w:szCs w:val="22"/>
        </w:rPr>
        <w:t xml:space="preserve">Figure 1: ML Bonus Optimisation System Architecture</w:t>
      </w:r>
    </w:p>
    <w:p>
      <w:pPr>
        <w:spacing w:after="60"/>
        <w:ind w:left="400"/>
      </w:pPr>
      <w:r>
        <w:rPr>
          <w:rFonts w:ascii="Times New Roman" w:cs="Times New Roman" w:eastAsia="Times New Roman" w:hAnsi="Times New Roman"/>
          <w:sz w:val="22"/>
          <w:szCs w:val="22"/>
        </w:rPr>
        <w:t xml:space="preserve">Figure 2: Continuous Training Pipeline</w:t>
      </w:r>
    </w:p>
    <w:p>
      <w:pPr>
        <w:spacing w:before="200" w:after="100"/>
      </w:pPr>
      <w:r>
        <w:rPr>
          <w:rFonts w:ascii="Times New Roman" w:cs="Times New Roman" w:eastAsia="Times New Roman" w:hAnsi="Times New Roman"/>
          <w:b/>
          <w:bCs/>
          <w:sz w:val="24"/>
          <w:szCs w:val="24"/>
        </w:rPr>
        <w:t xml:space="preserve">List of Tables</w:t>
      </w:r>
    </w:p>
    <w:p>
      <w:pPr>
        <w:spacing w:after="60"/>
        <w:ind w:left="400"/>
      </w:pPr>
      <w:r>
        <w:rPr>
          <w:rFonts w:ascii="Times New Roman" w:cs="Times New Roman" w:eastAsia="Times New Roman" w:hAnsi="Times New Roman"/>
          <w:sz w:val="22"/>
          <w:szCs w:val="22"/>
        </w:rPr>
        <w:t xml:space="preserve">Table 1: The Four Player Segments</w:t>
      </w:r>
    </w:p>
    <w:p>
      <w:pPr>
        <w:spacing w:after="60"/>
        <w:ind w:left="400"/>
      </w:pPr>
      <w:r>
        <w:rPr>
          <w:rFonts w:ascii="Times New Roman" w:cs="Times New Roman" w:eastAsia="Times New Roman" w:hAnsi="Times New Roman"/>
          <w:sz w:val="22"/>
          <w:szCs w:val="22"/>
        </w:rPr>
        <w:t xml:space="preserve">Table 2: Summary of Business Applications</w:t>
      </w:r>
    </w:p>
    <w:p>
      <w:pPr>
        <w:spacing w:after="60"/>
        <w:ind w:left="400"/>
      </w:pPr>
      <w:r>
        <w:rPr>
          <w:rFonts w:ascii="Times New Roman" w:cs="Times New Roman" w:eastAsia="Times New Roman" w:hAnsi="Times New Roman"/>
          <w:sz w:val="22"/>
          <w:szCs w:val="22"/>
        </w:rPr>
        <w:t xml:space="preserve">Table 3: Player Profile Decision Matrix</w:t>
      </w:r>
    </w:p>
    <w:p>
      <w:pPr>
        <w:spacing w:after="60"/>
        <w:ind w:left="400"/>
      </w:pPr>
      <w:r>
        <w:rPr>
          <w:rFonts w:ascii="Times New Roman" w:cs="Times New Roman" w:eastAsia="Times New Roman" w:hAnsi="Times New Roman"/>
          <w:sz w:val="22"/>
          <w:szCs w:val="22"/>
        </w:rPr>
        <w:t xml:space="preserve">Table 4: Rescoring vs. Retraining</w:t>
      </w:r>
    </w:p>
    <w:p>
      <w:pPr>
        <w:spacing w:after="60"/>
        <w:ind w:left="400"/>
      </w:pPr>
      <w:r>
        <w:rPr>
          <w:rFonts w:ascii="Times New Roman" w:cs="Times New Roman" w:eastAsia="Times New Roman" w:hAnsi="Times New Roman"/>
          <w:sz w:val="22"/>
          <w:szCs w:val="22"/>
        </w:rPr>
        <w:t xml:space="preserve">Table 5: Alice's Evolution Over Time</w:t>
      </w:r>
    </w:p>
    <w:p>
      <w:pPr>
        <w:spacing w:after="60"/>
        <w:ind w:left="400"/>
      </w:pPr>
      <w:r>
        <w:rPr>
          <w:rFonts w:ascii="Times New Roman" w:cs="Times New Roman" w:eastAsia="Times New Roman" w:hAnsi="Times New Roman"/>
          <w:sz w:val="22"/>
          <w:szCs w:val="22"/>
        </w:rPr>
        <w:t xml:space="preserve">Table 6: Example Cumulative Gain Curve Data</w:t>
      </w:r>
    </w:p>
    <w:p>
      <w:pPr>
        <w:spacing w:after="60"/>
        <w:ind w:left="400"/>
      </w:pPr>
      <w:r>
        <w:rPr>
          <w:rFonts w:ascii="Times New Roman" w:cs="Times New Roman" w:eastAsia="Times New Roman" w:hAnsi="Times New Roman"/>
          <w:sz w:val="22"/>
          <w:szCs w:val="22"/>
        </w:rPr>
        <w:t xml:space="preserve">Table 7: Example Rows from Simulated Dataset</w:t>
      </w:r>
    </w:p>
    <w:p>
      <w:pPr>
        <w:spacing w:after="60"/>
        <w:ind w:left="400"/>
      </w:pPr>
      <w:r>
        <w:rPr>
          <w:rFonts w:ascii="Times New Roman" w:cs="Times New Roman" w:eastAsia="Times New Roman" w:hAnsi="Times New Roman"/>
          <w:sz w:val="22"/>
          <w:szCs w:val="22"/>
        </w:rPr>
        <w:t xml:space="preserve">Table 8: Simulation Results by Targeting Strategy</w:t>
      </w:r>
    </w:p>
    <w:p>
      <w:r>
        <w:br w:type="page"/>
      </w:r>
    </w:p>
    <w:p>
      <w:pPr>
        <w:pStyle w:val="Heading1"/>
      </w:pPr>
      <w:r>
        <w:t xml:space="preserve">1. Introduction</w:t>
      </w:r>
    </w:p>
    <w:p>
      <w:pPr>
        <w:pStyle w:val="Heading2"/>
      </w:pPr>
      <w:r>
        <w:t xml:space="preserve">1.1 The Challenge of Bonus Allocation</w:t>
      </w:r>
    </w:p>
    <w:p>
      <w:pPr>
        <w:spacing w:after="200" w:line="276"/>
      </w:pPr>
      <w:r>
        <w:rPr>
          <w:rFonts w:ascii="Times New Roman" w:cs="Times New Roman" w:eastAsia="Times New Roman" w:hAnsi="Times New Roman"/>
          <w:sz w:val="24"/>
          <w:szCs w:val="24"/>
        </w:rPr>
        <w:t xml:space="preserve">Player bonuses represent one of the largest controllable costs in the gaming industry. Operators spend millions annually on free plays, deposit matches, and promotional credits designed to drive player engagement and retention. Yet the fundamental question of who should receive bonuses, and how much they should receive, is often answered through intuition, simple rules, or broad segmentation rather than rigorous optimisation (Hansotia and Rukstales, 2002).</w:t>
      </w:r>
    </w:p>
    <w:p>
      <w:pPr>
        <w:spacing w:after="200" w:line="276"/>
      </w:pPr>
      <w:r>
        <w:rPr>
          <w:rFonts w:ascii="Times New Roman" w:cs="Times New Roman" w:eastAsia="Times New Roman" w:hAnsi="Times New Roman"/>
          <w:sz w:val="24"/>
          <w:szCs w:val="24"/>
        </w:rPr>
        <w:t xml:space="preserve">The core challenge lies in a critical distinction that traditional approaches fail to address: the difference between players who will respond to a bonus and players who will respond because of a bonus. A player who logs in every day and spends consistently will likely continue doing so whether or not they receive a promotional offer. Giving them a bonus generates goodwill but no incremental revenue. Conversely, a player showing early signs of disengagement might be persuaded to return with the right incentive at the right time (Lo, 2002).</w:t>
      </w:r>
    </w:p>
    <w:p>
      <w:pPr>
        <w:spacing w:after="200" w:line="276"/>
      </w:pPr>
      <w:r>
        <w:rPr>
          <w:rFonts w:ascii="Times New Roman" w:cs="Times New Roman" w:eastAsia="Times New Roman" w:hAnsi="Times New Roman"/>
          <w:sz w:val="24"/>
          <w:szCs w:val="24"/>
        </w:rPr>
        <w:t xml:space="preserve">This distinction is the foundation of causal inference in marketing, and addressing it requires moving beyond correlation-based predictive models toward methods that can estimate the causal effect of interventions on individual customers (Rubin, 1974).</w:t>
      </w:r>
    </w:p>
    <w:p>
      <w:pPr>
        <w:pStyle w:val="Heading2"/>
      </w:pPr>
      <w:r>
        <w:t xml:space="preserve">1.2 The Promise of Uplift Modelling</w:t>
      </w:r>
    </w:p>
    <w:p>
      <w:pPr>
        <w:spacing w:after="200" w:line="276"/>
      </w:pPr>
      <w:r>
        <w:rPr>
          <w:rFonts w:ascii="Times New Roman" w:cs="Times New Roman" w:eastAsia="Times New Roman" w:hAnsi="Times New Roman"/>
          <w:sz w:val="24"/>
          <w:szCs w:val="24"/>
        </w:rPr>
        <w:t xml:space="preserve">Uplift modelling, also known as incremental response modelling or true lift modelling, provides the methodological framework for addressing this challenge (Radcliffe and Surry, 2011). Rather than predicting who will respond to an offer, uplift models predict who will respond differently depending on whether they receive an offer. This shift in framing transforms the bonus allocation problem from a classification task into a causal inference task.</w:t>
      </w:r>
    </w:p>
    <w:p>
      <w:pPr>
        <w:spacing w:after="200" w:line="276"/>
      </w:pPr>
      <w:r>
        <w:rPr>
          <w:rFonts w:ascii="Times New Roman" w:cs="Times New Roman" w:eastAsia="Times New Roman" w:hAnsi="Times New Roman"/>
          <w:sz w:val="24"/>
          <w:szCs w:val="24"/>
        </w:rPr>
        <w:t xml:space="preserve">The approach requires randomised experimental data to learn the relationship between player characteristics and treatment effects. Once trained, these models can score any player with an estimate of how much their behaviour would change if they received a bonus. This enables precise targeting of marketing resources toward players where those resources will generate incremental returns (Athey and Imbens, 2016).</w:t>
      </w:r>
    </w:p>
    <w:p>
      <w:pPr>
        <w:pStyle w:val="Heading2"/>
      </w:pPr>
      <w:r>
        <w:t xml:space="preserve">1.3 Scope and Contributions</w:t>
      </w:r>
    </w:p>
    <w:p>
      <w:pPr>
        <w:spacing w:after="200" w:line="276"/>
      </w:pPr>
      <w:r>
        <w:rPr>
          <w:rFonts w:ascii="Times New Roman" w:cs="Times New Roman" w:eastAsia="Times New Roman" w:hAnsi="Times New Roman"/>
          <w:sz w:val="24"/>
          <w:szCs w:val="24"/>
        </w:rPr>
        <w:t xml:space="preserve">This paper presents a complete framework for implementing uplift-based bonus optimisation in production gaming environments. Our contributions include:</w:t>
      </w:r>
    </w:p>
    <w:p>
      <w:pPr>
        <w:spacing w:after="200" w:line="276"/>
      </w:pPr>
      <w:r>
        <w:rPr>
          <w:rFonts w:ascii="Times New Roman" w:cs="Times New Roman" w:eastAsia="Times New Roman" w:hAnsi="Times New Roman"/>
          <w:b/>
          <w:bCs/>
          <w:sz w:val="24"/>
          <w:szCs w:val="24"/>
        </w:rPr>
        <w:t xml:space="preserve">First, </w:t>
      </w:r>
      <w:r>
        <w:rPr>
          <w:rFonts w:ascii="Times New Roman" w:cs="Times New Roman" w:eastAsia="Times New Roman" w:hAnsi="Times New Roman"/>
          <w:sz w:val="24"/>
          <w:szCs w:val="24"/>
        </w:rPr>
        <w:t xml:space="preserve">a detailed methodology for designing and executing the randomised experiments necessary to train causal models. We address practical considerations including sample size, duration, and contamination avoidance.</w:t>
      </w:r>
    </w:p>
    <w:p>
      <w:pPr>
        <w:spacing w:after="200" w:line="276"/>
      </w:pPr>
      <w:r>
        <w:rPr>
          <w:rFonts w:ascii="Times New Roman" w:cs="Times New Roman" w:eastAsia="Times New Roman" w:hAnsi="Times New Roman"/>
          <w:b/>
          <w:bCs/>
          <w:sz w:val="24"/>
          <w:szCs w:val="24"/>
        </w:rPr>
        <w:t xml:space="preserve">Second, </w:t>
      </w:r>
      <w:r>
        <w:rPr>
          <w:rFonts w:ascii="Times New Roman" w:cs="Times New Roman" w:eastAsia="Times New Roman" w:hAnsi="Times New Roman"/>
          <w:sz w:val="24"/>
          <w:szCs w:val="24"/>
        </w:rPr>
        <w:t xml:space="preserve">a multi-model architecture that combines uplift predictions with lifetime value estimation and churn probability to enable nuanced optimisation across multiple business objectives.</w:t>
      </w:r>
    </w:p>
    <w:p>
      <w:pPr>
        <w:spacing w:after="200" w:line="276"/>
      </w:pPr>
      <w:r>
        <w:rPr>
          <w:rFonts w:ascii="Times New Roman" w:cs="Times New Roman" w:eastAsia="Times New Roman" w:hAnsi="Times New Roman"/>
          <w:b/>
          <w:bCs/>
          <w:sz w:val="24"/>
          <w:szCs w:val="24"/>
        </w:rPr>
        <w:t xml:space="preserve">Third, </w:t>
      </w:r>
      <w:r>
        <w:rPr>
          <w:rFonts w:ascii="Times New Roman" w:cs="Times New Roman" w:eastAsia="Times New Roman" w:hAnsi="Times New Roman"/>
          <w:sz w:val="24"/>
          <w:szCs w:val="24"/>
        </w:rPr>
        <w:t xml:space="preserve">a complete operational framework covering data architecture, scoring pipelines, business rules, and the distinction between rescoring and retraining cycles.</w:t>
      </w:r>
    </w:p>
    <w:p>
      <w:pPr>
        <w:spacing w:after="200" w:line="276"/>
      </w:pPr>
      <w:r>
        <w:rPr>
          <w:rFonts w:ascii="Times New Roman" w:cs="Times New Roman" w:eastAsia="Times New Roman" w:hAnsi="Times New Roman"/>
          <w:b/>
          <w:bCs/>
          <w:sz w:val="24"/>
          <w:szCs w:val="24"/>
        </w:rPr>
        <w:t xml:space="preserve">Fourth, </w:t>
      </w:r>
      <w:r>
        <w:rPr>
          <w:rFonts w:ascii="Times New Roman" w:cs="Times New Roman" w:eastAsia="Times New Roman" w:hAnsi="Times New Roman"/>
          <w:sz w:val="24"/>
          <w:szCs w:val="24"/>
        </w:rPr>
        <w:t xml:space="preserve">worked examples and an illustrative simulation demonstrating how the framework operates in practice and quantifying its potential advantages over traditional targeting approaches.</w:t>
      </w:r>
    </w:p>
    <w:p>
      <w:pPr>
        <w:spacing w:after="200" w:line="276"/>
      </w:pPr>
      <w:r>
        <w:rPr>
          <w:rFonts w:ascii="Times New Roman" w:cs="Times New Roman" w:eastAsia="Times New Roman" w:hAnsi="Times New Roman"/>
          <w:sz w:val="24"/>
          <w:szCs w:val="24"/>
        </w:rPr>
        <w:t xml:space="preserve">While uplift modelling itself is well-established (Radcliffe, 2007; Lo, 2002; Devriendt et al., 2018), and profit-driven targeting has been explored in related contexts (Verbeke et al., 2012; Haupt and Lessmann, 2022), the specific contribution of this work lies in integrating these techniques into a unified, operational framework tailored to the online gaming industry. To our knowledge, no prior published work has combined uplift modelling with a triad of supporting models (LTV and churn) in an end-to-end production architecture with continuous learning capabilities for gaming bonus optimisation. The framework bridges the gap between academic causal inference methods and practical deployment, providing both theoretical grounding and implementation guidance.</w:t>
      </w:r>
    </w:p>
    <w:p>
      <w:pPr>
        <w:spacing w:after="200" w:line="276"/>
      </w:pPr>
      <w:r>
        <w:rPr>
          <w:rFonts w:ascii="Times New Roman" w:cs="Times New Roman" w:eastAsia="Times New Roman" w:hAnsi="Times New Roman"/>
          <w:sz w:val="24"/>
          <w:szCs w:val="24"/>
        </w:rPr>
        <w:t xml:space="preserve">An illustrative simulation demonstrates the potential magnitude of improvement: uplift-based targeting achieves over 350% higher incremental engagement compared to random targeting, while a traditional response model actually performs worse than random by inadvertently targeting players who respond negatively to bonuses. These findings, while based on stylized assumptions, are directionally consistent with field experiments in adjacent domains showing substantial improvements from uplift-based approaches (Ascarza, 2018; Radcliffe and Surry, 2011).</w:t>
      </w:r>
    </w:p>
    <w:p>
      <w:pPr>
        <w:spacing w:after="200" w:line="276"/>
      </w:pPr>
      <w:r>
        <w:rPr>
          <w:rFonts w:ascii="Times New Roman" w:cs="Times New Roman" w:eastAsia="Times New Roman" w:hAnsi="Times New Roman"/>
          <w:sz w:val="24"/>
          <w:szCs w:val="24"/>
        </w:rPr>
        <w:t xml:space="preserve">The framework assumes two key conditions: (1) the ability to conduct randomised experiments to generate training data for causal models, and (2) the existence of heterogeneous treatment effects—that is, some players whose behaviour genuinely changes because of bonus receipt (Persuadables) and others who respond regardless or not at all. These conditions are examined in detail in the limitations section. Where these assumptions hold, the potential for improvement over traditional methods is substantial.</w:t>
      </w:r>
    </w:p>
    <w:p>
      <w:r>
        <w:br w:type="page"/>
      </w:r>
    </w:p>
    <w:p>
      <w:pPr>
        <w:pStyle w:val="Heading1"/>
      </w:pPr>
      <w:r>
        <w:t xml:space="preserve">2. Background and Business Motivation</w:t>
      </w:r>
    </w:p>
    <w:p>
      <w:pPr>
        <w:pStyle w:val="Heading2"/>
      </w:pPr>
      <w:r>
        <w:t xml:space="preserve">2.1 The Economics of Player Bonuses</w:t>
      </w:r>
    </w:p>
    <w:p>
      <w:pPr>
        <w:spacing w:after="200" w:line="276"/>
      </w:pPr>
      <w:r>
        <w:rPr>
          <w:rFonts w:ascii="Times New Roman" w:cs="Times New Roman" w:eastAsia="Times New Roman" w:hAnsi="Times New Roman"/>
          <w:sz w:val="24"/>
          <w:szCs w:val="24"/>
        </w:rPr>
        <w:t xml:space="preserve">Gaming operators deploy bonuses for several strategic purposes: acquiring new players, retaining existing ones, reactivating lapsed players, and increasing engagement among active players. Each dollar spent on bonuses represents a trade-off against other uses of capital, including product development, advertising, and shareholder returns (Kumar and Reinartz, 2018).</w:t>
      </w:r>
    </w:p>
    <w:p>
      <w:pPr>
        <w:spacing w:after="200" w:line="276"/>
      </w:pPr>
      <w:r>
        <w:rPr>
          <w:rFonts w:ascii="Times New Roman" w:cs="Times New Roman" w:eastAsia="Times New Roman" w:hAnsi="Times New Roman"/>
          <w:sz w:val="24"/>
          <w:szCs w:val="24"/>
        </w:rPr>
        <w:t xml:space="preserve">The return on bonus investment depends critically on targeting efficiency. Consider a simple illustration: an operator has a $100,000 weekly bonus budget and 100,000 active players. A uniform distribution gives each player $1. A sophisticated targeting approach might identify 10,000 players where bonuses will change behaviour and give each $10. If the targeted approach correctly identifies persuadable players, the incremental revenue generated per dollar spent could be multiples higher than the uniform approach (Lemmens and Gupta, 2020).</w:t>
      </w:r>
    </w:p>
    <w:p>
      <w:pPr>
        <w:spacing w:after="200" w:line="276"/>
      </w:pPr>
      <w:r>
        <w:rPr>
          <w:rFonts w:ascii="Times New Roman" w:cs="Times New Roman" w:eastAsia="Times New Roman" w:hAnsi="Times New Roman"/>
          <w:sz w:val="24"/>
          <w:szCs w:val="24"/>
        </w:rPr>
        <w:t xml:space="preserve">Traditional targeting methods rely on historical response rates or recency-frequency-monetary (RFM) segmentation. These approaches conflate correlation with causation. A player segment with high historical response rates may simply contain players who would have engaged regardless. Without experimental control groups, there is no way to distinguish genuine treatment effects from selection effects (Kane, Lo and Zheng, 2014).</w:t>
      </w:r>
    </w:p>
    <w:p>
      <w:pPr>
        <w:pStyle w:val="Heading2"/>
      </w:pPr>
      <w:r>
        <w:t xml:space="preserve">2.2 The Four Player Segments</w:t>
      </w:r>
    </w:p>
    <w:p>
      <w:pPr>
        <w:spacing w:after="200" w:line="276"/>
      </w:pPr>
      <w:r>
        <w:rPr>
          <w:rFonts w:ascii="Times New Roman" w:cs="Times New Roman" w:eastAsia="Times New Roman" w:hAnsi="Times New Roman"/>
          <w:sz w:val="24"/>
          <w:szCs w:val="24"/>
        </w:rPr>
        <w:t xml:space="preserve">Understanding why uplift modelling matters requires recognising that any player population can be partitioned into four distinct segments based on their potential responses to treatment (Radcliffe, 2007):</w:t>
      </w:r>
    </w:p>
    <w:p>
      <w:pPr>
        <w:spacing w:after="200" w:line="276"/>
      </w:pPr>
      <w:r>
        <w:rPr>
          <w:rFonts w:ascii="Times New Roman" w:cs="Times New Roman" w:eastAsia="Times New Roman" w:hAnsi="Times New Roman"/>
          <w:b/>
          <w:bCs/>
          <w:sz w:val="24"/>
          <w:szCs w:val="24"/>
        </w:rPr>
        <w:t xml:space="preserve">Persuadables: </w:t>
      </w:r>
      <w:r>
        <w:rPr>
          <w:rFonts w:ascii="Times New Roman" w:cs="Times New Roman" w:eastAsia="Times New Roman" w:hAnsi="Times New Roman"/>
          <w:sz w:val="24"/>
          <w:szCs w:val="24"/>
        </w:rPr>
        <w:t xml:space="preserve">Players who will engage if and only if they receive a bonus. These are the only players where bonus spending generates incremental value. Without a bonus, they would not engage; with a bonus, they will. Every dollar spent on persuadables generates positive returns.</w:t>
      </w:r>
    </w:p>
    <w:p>
      <w:pPr>
        <w:spacing w:after="200" w:line="276"/>
      </w:pPr>
      <w:r>
        <w:rPr>
          <w:rFonts w:ascii="Times New Roman" w:cs="Times New Roman" w:eastAsia="Times New Roman" w:hAnsi="Times New Roman"/>
          <w:b/>
          <w:bCs/>
          <w:sz w:val="24"/>
          <w:szCs w:val="24"/>
        </w:rPr>
        <w:t xml:space="preserve">Sure Things: </w:t>
      </w:r>
      <w:r>
        <w:rPr>
          <w:rFonts w:ascii="Times New Roman" w:cs="Times New Roman" w:eastAsia="Times New Roman" w:hAnsi="Times New Roman"/>
          <w:sz w:val="24"/>
          <w:szCs w:val="24"/>
        </w:rPr>
        <w:t xml:space="preserve">Players who will engage regardless of whether they receive a bonus. Spending on sure things generates no incremental revenue because they would have engaged anyway. The bonus is pure cost with no behavioural change.</w:t>
      </w:r>
    </w:p>
    <w:p>
      <w:pPr>
        <w:spacing w:after="200" w:line="276"/>
      </w:pPr>
      <w:r>
        <w:rPr>
          <w:rFonts w:ascii="Times New Roman" w:cs="Times New Roman" w:eastAsia="Times New Roman" w:hAnsi="Times New Roman"/>
          <w:b/>
          <w:bCs/>
          <w:sz w:val="24"/>
          <w:szCs w:val="24"/>
        </w:rPr>
        <w:t xml:space="preserve">Lost Causes: </w:t>
      </w:r>
      <w:r>
        <w:rPr>
          <w:rFonts w:ascii="Times New Roman" w:cs="Times New Roman" w:eastAsia="Times New Roman" w:hAnsi="Times New Roman"/>
          <w:sz w:val="24"/>
          <w:szCs w:val="24"/>
        </w:rPr>
        <w:t xml:space="preserve">Players who will not engage regardless of whether they receive a bonus. Spending on lost causes is equally wasteful because no incentive will change their behaviour.</w:t>
      </w:r>
    </w:p>
    <w:p>
      <w:pPr>
        <w:spacing w:after="200" w:line="276"/>
      </w:pPr>
      <w:r>
        <w:rPr>
          <w:rFonts w:ascii="Times New Roman" w:cs="Times New Roman" w:eastAsia="Times New Roman" w:hAnsi="Times New Roman"/>
          <w:b/>
          <w:bCs/>
          <w:sz w:val="24"/>
          <w:szCs w:val="24"/>
        </w:rPr>
        <w:t xml:space="preserve">Sleeping Dogs: </w:t>
      </w:r>
      <w:r>
        <w:rPr>
          <w:rFonts w:ascii="Times New Roman" w:cs="Times New Roman" w:eastAsia="Times New Roman" w:hAnsi="Times New Roman"/>
          <w:sz w:val="24"/>
          <w:szCs w:val="24"/>
        </w:rPr>
        <w:t xml:space="preserve">Players who will engage if left alone but will disengage if contacted. While less common, these players represent negative returns on bonus spending. The act of reaching out may remind them of past losses, trigger opt-out behaviour, or simply annoy them into leaving.</w:t>
      </w:r>
    </w:p>
    <w:p>
      <w:pPr>
        <w:spacing w:after="200" w:line="276"/>
      </w:pPr>
      <w:r>
        <w:rPr>
          <w:rFonts w:ascii="Times New Roman" w:cs="Times New Roman" w:eastAsia="Times New Roman" w:hAnsi="Times New Roman"/>
          <w:sz w:val="24"/>
          <w:szCs w:val="24"/>
        </w:rPr>
        <w:t xml:space="preserve">Traditional response models cannot distinguish between these segments. A model trained to predict who will respond after receiving a bonus will assign high scores to both persuadables and sure things, since both groups show positive outcomes in the treatment condition. Only by comparing treatment and control outcomes can we isolate the persuadables (Devriendt et al., 2018).</w:t>
      </w:r>
    </w:p>
    <w:p>
      <w:pPr>
        <w:spacing w:before="200" w:after="100"/>
        <w:jc w:val="center"/>
      </w:pPr>
      <w:r>
        <w:rPr>
          <w:b/>
          <w:bCs/>
          <w:sz w:val="22"/>
          <w:szCs w:val="22"/>
        </w:rPr>
        <w:t xml:space="preserve">Table 1: The Four Player Segments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2"/>
                <w:szCs w:val="22"/>
              </w:rPr>
              <w:t xml:space="preserve">Segment</w:t>
            </w:r>
          </w:p>
        </w:tc>
        <w:tc>
          <w:tcPr>
            <w:tcW w:type="dxa" w:w="20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2"/>
                <w:szCs w:val="22"/>
              </w:rPr>
              <w:t xml:space="preserve">Without Bonus</w:t>
            </w:r>
          </w:p>
        </w:tc>
        <w:tc>
          <w:tcPr>
            <w:tcW w:type="dxa" w:w="20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2"/>
                <w:szCs w:val="22"/>
              </w:rPr>
              <w:t xml:space="preserve">With Bonus</w:t>
            </w:r>
          </w:p>
        </w:tc>
        <w:tc>
          <w:tcPr>
            <w:tcW w:type="dxa" w:w="336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2"/>
                <w:szCs w:val="22"/>
              </w:rPr>
              <w:t xml:space="preserve">Implication</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Persuadables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No engagement</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Engagement</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Target these - positive ROI</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Sure Things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Engagement</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Engagement</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Skip - bonus is wasted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Lost Causes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No engagement</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No engagement</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Skip - nothing helps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Sleeping Dogs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Engagement</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No engagement</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Avoid - bonus hurts</w:t>
            </w:r>
          </w:p>
        </w:tc>
      </w:tr>
    </w:tbl>
    <w:p>
      <w:pPr>
        <w:spacing w:after="200"/>
      </w:pPr>
    </w:p>
    <w:p>
      <w:r>
        <w:br w:type="page"/>
      </w:r>
    </w:p>
    <w:p>
      <w:pPr>
        <w:pStyle w:val="Heading1"/>
      </w:pPr>
      <w:r>
        <w:t xml:space="preserve">3. Business Applications and Problems Solved</w:t>
      </w:r>
    </w:p>
    <w:p>
      <w:pPr>
        <w:spacing w:after="200" w:line="276"/>
      </w:pPr>
      <w:r>
        <w:rPr>
          <w:rFonts w:ascii="Times New Roman" w:cs="Times New Roman" w:eastAsia="Times New Roman" w:hAnsi="Times New Roman"/>
          <w:sz w:val="24"/>
          <w:szCs w:val="24"/>
        </w:rPr>
        <w:t xml:space="preserve">The uplift modelling framework addresses numerous business challenges across the gaming industry and beyond. This section examines specific applications and the quantifiable problems they solve.</w:t>
      </w:r>
    </w:p>
    <w:p>
      <w:pPr>
        <w:pStyle w:val="Heading2"/>
      </w:pPr>
      <w:r>
        <w:t xml:space="preserve">3.1 Customer Retention and Churn Prevention</w:t>
      </w:r>
    </w:p>
    <w:p>
      <w:pPr>
        <w:spacing w:after="200" w:line="276"/>
      </w:pPr>
      <w:r>
        <w:rPr>
          <w:rFonts w:ascii="Times New Roman" w:cs="Times New Roman" w:eastAsia="Times New Roman" w:hAnsi="Times New Roman"/>
          <w:b/>
          <w:bCs/>
          <w:sz w:val="24"/>
          <w:szCs w:val="24"/>
        </w:rPr>
        <w:t xml:space="preserve">Problem: </w:t>
      </w:r>
      <w:r>
        <w:rPr>
          <w:rFonts w:ascii="Times New Roman" w:cs="Times New Roman" w:eastAsia="Times New Roman" w:hAnsi="Times New Roman"/>
          <w:sz w:val="24"/>
          <w:szCs w:val="24"/>
        </w:rPr>
        <w:t xml:space="preserve">Gaming operators lose significant revenue when players churn. Traditional retention campaigns target all at-risk players with bonuses, but many of these players would have stayed anyway, while others are beyond saving. Research suggests that acquiring a new customer costs five to twenty-five times more than retaining an existing one (Reichheld and Sasser, 1990).</w:t>
      </w:r>
    </w:p>
    <w:p>
      <w:pPr>
        <w:spacing w:after="200" w:line="276"/>
      </w:pPr>
      <w:r>
        <w:rPr>
          <w:rFonts w:ascii="Times New Roman" w:cs="Times New Roman" w:eastAsia="Times New Roman" w:hAnsi="Times New Roman"/>
          <w:b/>
          <w:bCs/>
          <w:sz w:val="24"/>
          <w:szCs w:val="24"/>
        </w:rPr>
        <w:t xml:space="preserve">Solution: </w:t>
      </w:r>
      <w:r>
        <w:rPr>
          <w:rFonts w:ascii="Times New Roman" w:cs="Times New Roman" w:eastAsia="Times New Roman" w:hAnsi="Times New Roman"/>
          <w:sz w:val="24"/>
          <w:szCs w:val="24"/>
        </w:rPr>
        <w:t xml:space="preserve">Uplift modelling identifies players who are at risk of churning AND who would be persuaded to stay by a retention offer. This precise targeting reduces wasted spend on sure-to-stay players and sure-to-leave players, concentrating resources on the persuadable middle ground.</w:t>
      </w:r>
    </w:p>
    <w:p>
      <w:pPr>
        <w:spacing w:after="200" w:line="276"/>
      </w:pPr>
      <w:r>
        <w:rPr>
          <w:rFonts w:ascii="Times New Roman" w:cs="Times New Roman" w:eastAsia="Times New Roman" w:hAnsi="Times New Roman"/>
          <w:b/>
          <w:bCs/>
          <w:sz w:val="24"/>
          <w:szCs w:val="24"/>
        </w:rPr>
        <w:t xml:space="preserve">Documented Results: </w:t>
      </w:r>
      <w:r>
        <w:rPr>
          <w:rFonts w:ascii="Times New Roman" w:cs="Times New Roman" w:eastAsia="Times New Roman" w:hAnsi="Times New Roman"/>
          <w:sz w:val="24"/>
          <w:szCs w:val="24"/>
        </w:rPr>
        <w:t xml:space="preserve">Field experiments demonstrate that targeting customers by predicted uplift rather than predicted churn risk can yield substantial improvements. Ascarza (2018) found that uplift-based targeting produced 4-9 percentage point improvements in retention outcomes compared to risk-based targeting, while also revealing that approximately half of traditional retention spending is wasted on customers who would stay anyway or leave regardless. Similar findings in subscription services show that uplift targeting can improve retention return on investment (ROI) by 2-3 times compared to conventional approaches (Lemmens and Gupta, 2020).</w:t>
      </w:r>
    </w:p>
    <w:p>
      <w:pPr>
        <w:pStyle w:val="Heading2"/>
      </w:pPr>
      <w:r>
        <w:t xml:space="preserve">3.2 Marketing Budget Optimisation</w:t>
      </w:r>
    </w:p>
    <w:p>
      <w:pPr>
        <w:spacing w:after="200" w:line="276"/>
      </w:pPr>
      <w:r>
        <w:rPr>
          <w:rFonts w:ascii="Times New Roman" w:cs="Times New Roman" w:eastAsia="Times New Roman" w:hAnsi="Times New Roman"/>
          <w:b/>
          <w:bCs/>
          <w:sz w:val="24"/>
          <w:szCs w:val="24"/>
        </w:rPr>
        <w:t xml:space="preserve">Problem: </w:t>
      </w:r>
      <w:r>
        <w:rPr>
          <w:rFonts w:ascii="Times New Roman" w:cs="Times New Roman" w:eastAsia="Times New Roman" w:hAnsi="Times New Roman"/>
          <w:sz w:val="24"/>
          <w:szCs w:val="24"/>
        </w:rPr>
        <w:t xml:space="preserve">Marketing budgets are finite, but traditional approaches cannot distinguish between high-response customers who would convert anyway and those whose conversion depends on the marketing touch. This leads to systematic misallocation of marketing spend (Hitsch and Misra, 2024).</w:t>
      </w:r>
    </w:p>
    <w:p>
      <w:pPr>
        <w:spacing w:after="200" w:line="276"/>
      </w:pPr>
      <w:r>
        <w:rPr>
          <w:rFonts w:ascii="Times New Roman" w:cs="Times New Roman" w:eastAsia="Times New Roman" w:hAnsi="Times New Roman"/>
          <w:b/>
          <w:bCs/>
          <w:sz w:val="24"/>
          <w:szCs w:val="24"/>
        </w:rPr>
        <w:t xml:space="preserve">Solution: </w:t>
      </w:r>
      <w:r>
        <w:rPr>
          <w:rFonts w:ascii="Times New Roman" w:cs="Times New Roman" w:eastAsia="Times New Roman" w:hAnsi="Times New Roman"/>
          <w:sz w:val="24"/>
          <w:szCs w:val="24"/>
        </w:rPr>
        <w:t xml:space="preserve">By scoring every customer with an uplift estimate, operators can rank-order the entire customer base by expected incremental return. Budget is allocated starting from the highest-uplift customers and proceeding down the list until the budget is exhausted, maximising total incremental revenue.</w:t>
      </w:r>
    </w:p>
    <w:p>
      <w:pPr>
        <w:spacing w:after="200" w:line="276"/>
      </w:pPr>
      <w:r>
        <w:rPr>
          <w:rFonts w:ascii="Times New Roman" w:cs="Times New Roman" w:eastAsia="Times New Roman" w:hAnsi="Times New Roman"/>
          <w:b/>
          <w:bCs/>
          <w:sz w:val="24"/>
          <w:szCs w:val="24"/>
        </w:rPr>
        <w:t xml:space="preserve">Documented Results: </w:t>
      </w:r>
      <w:r>
        <w:rPr>
          <w:rFonts w:ascii="Times New Roman" w:cs="Times New Roman" w:eastAsia="Times New Roman" w:hAnsi="Times New Roman"/>
          <w:sz w:val="24"/>
          <w:szCs w:val="24"/>
        </w:rPr>
        <w:t xml:space="preserve">Industry implementations consistently show that uplift-based targeting concentrates incremental value in the top-ranked customer segments. Radcliffe and Surry (2011) document case studies where uplift models enabled marketers to achieve the same incremental response with significantly fewer contacts, with some implementations reporting response improvements of 100-200% compared to traditional targeting. The concentration of incremental value in top uplift deciles is a robust finding across multiple industry applications.</w:t>
      </w:r>
    </w:p>
    <w:p>
      <w:pPr>
        <w:pStyle w:val="Heading2"/>
      </w:pPr>
      <w:r>
        <w:t xml:space="preserve">3.3 Personalised Offer Optimisation</w:t>
      </w:r>
    </w:p>
    <w:p>
      <w:pPr>
        <w:spacing w:after="200" w:line="276"/>
      </w:pPr>
      <w:r>
        <w:rPr>
          <w:rFonts w:ascii="Times New Roman" w:cs="Times New Roman" w:eastAsia="Times New Roman" w:hAnsi="Times New Roman"/>
          <w:b/>
          <w:bCs/>
          <w:sz w:val="24"/>
          <w:szCs w:val="24"/>
        </w:rPr>
        <w:t xml:space="preserve">Problem: </w:t>
      </w:r>
      <w:r>
        <w:rPr>
          <w:rFonts w:ascii="Times New Roman" w:cs="Times New Roman" w:eastAsia="Times New Roman" w:hAnsi="Times New Roman"/>
          <w:sz w:val="24"/>
          <w:szCs w:val="24"/>
        </w:rPr>
        <w:t xml:space="preserve">Different players respond to different types and amounts of bonuses. A $10 bonus might be perfect for one player but wasteful for another who would have responded to $5. Uniform offer strategies leave money on the table (Simester, Sun and Tsitsiklis, 2006).</w:t>
      </w:r>
    </w:p>
    <w:p>
      <w:pPr>
        <w:spacing w:after="200" w:line="276"/>
      </w:pPr>
      <w:r>
        <w:rPr>
          <w:rFonts w:ascii="Times New Roman" w:cs="Times New Roman" w:eastAsia="Times New Roman" w:hAnsi="Times New Roman"/>
          <w:b/>
          <w:bCs/>
          <w:sz w:val="24"/>
          <w:szCs w:val="24"/>
        </w:rPr>
        <w:t xml:space="preserve">Solution: </w:t>
      </w:r>
      <w:r>
        <w:rPr>
          <w:rFonts w:ascii="Times New Roman" w:cs="Times New Roman" w:eastAsia="Times New Roman" w:hAnsi="Times New Roman"/>
          <w:sz w:val="24"/>
          <w:szCs w:val="24"/>
        </w:rPr>
        <w:t xml:space="preserve">Extended uplift models can estimate not just whether a player will respond to treatment, but how their response varies with treatment intensity. This enables personalised offer amounts that maximise the difference between incremental revenue and bonus cost for each individual.</w:t>
      </w:r>
    </w:p>
    <w:p>
      <w:pPr>
        <w:spacing w:after="200" w:line="276"/>
      </w:pPr>
      <w:r>
        <w:rPr>
          <w:rFonts w:ascii="Times New Roman" w:cs="Times New Roman" w:eastAsia="Times New Roman" w:hAnsi="Times New Roman"/>
          <w:b/>
          <w:bCs/>
          <w:sz w:val="24"/>
          <w:szCs w:val="24"/>
        </w:rPr>
        <w:t xml:space="preserve">Documented Results: </w:t>
      </w:r>
      <w:r>
        <w:rPr>
          <w:rFonts w:ascii="Times New Roman" w:cs="Times New Roman" w:eastAsia="Times New Roman" w:hAnsi="Times New Roman"/>
          <w:sz w:val="24"/>
          <w:szCs w:val="24"/>
        </w:rPr>
        <w:t xml:space="preserve">Research on personalised pricing and offer optimisation demonstrates significant potential for profit improvement. Gubela et al. (2019) found in e-commerce experiments that uplift-based coupon targeting substantially outperformed traditional conversion models. More broadly, personalisation strategies that account for customer heterogeneity in treatment response can improve marketing profitability by reducing unnecessary discounting while maintaining or improving response rates (Simester, Sun and Tsitsiklis, 2006).</w:t>
      </w:r>
    </w:p>
    <w:p>
      <w:pPr>
        <w:pStyle w:val="Heading2"/>
      </w:pPr>
      <w:r>
        <w:t xml:space="preserve">3.4 Customer Reactivation</w:t>
      </w:r>
    </w:p>
    <w:p>
      <w:pPr>
        <w:spacing w:after="200" w:line="276"/>
      </w:pPr>
      <w:r>
        <w:rPr>
          <w:rFonts w:ascii="Times New Roman" w:cs="Times New Roman" w:eastAsia="Times New Roman" w:hAnsi="Times New Roman"/>
          <w:b/>
          <w:bCs/>
          <w:sz w:val="24"/>
          <w:szCs w:val="24"/>
        </w:rPr>
        <w:t xml:space="preserve">Problem: </w:t>
      </w:r>
      <w:r>
        <w:rPr>
          <w:rFonts w:ascii="Times New Roman" w:cs="Times New Roman" w:eastAsia="Times New Roman" w:hAnsi="Times New Roman"/>
          <w:sz w:val="24"/>
          <w:szCs w:val="24"/>
        </w:rPr>
        <w:t xml:space="preserve">Lapsed players represent a valuable but challenging segment. Most will not return regardless of outreach, making broad reactivation campaigns expensive and inefficient. However, buried within the lapsed population are players who would return if appropriately incentivized (Kumar, Bhagwat and Zhang, 2015).</w:t>
      </w:r>
    </w:p>
    <w:p>
      <w:pPr>
        <w:spacing w:after="200" w:line="276"/>
      </w:pPr>
      <w:r>
        <w:rPr>
          <w:rFonts w:ascii="Times New Roman" w:cs="Times New Roman" w:eastAsia="Times New Roman" w:hAnsi="Times New Roman"/>
          <w:b/>
          <w:bCs/>
          <w:sz w:val="24"/>
          <w:szCs w:val="24"/>
        </w:rPr>
        <w:t xml:space="preserve">Solution: </w:t>
      </w:r>
      <w:r>
        <w:rPr>
          <w:rFonts w:ascii="Times New Roman" w:cs="Times New Roman" w:eastAsia="Times New Roman" w:hAnsi="Times New Roman"/>
          <w:sz w:val="24"/>
          <w:szCs w:val="24"/>
        </w:rPr>
        <w:t xml:space="preserve">Uplift models trained on historical reactivation experiments can identify which lapsed players are likely to respond to winback offers. Features such as tenure before lapsing, historical engagement patterns, and reason for departure help predict reactivation susceptibility.</w:t>
      </w:r>
    </w:p>
    <w:p>
      <w:pPr>
        <w:spacing w:after="200" w:line="276"/>
      </w:pPr>
      <w:r>
        <w:rPr>
          <w:rFonts w:ascii="Times New Roman" w:cs="Times New Roman" w:eastAsia="Times New Roman" w:hAnsi="Times New Roman"/>
          <w:b/>
          <w:bCs/>
          <w:sz w:val="24"/>
          <w:szCs w:val="24"/>
        </w:rPr>
        <w:t xml:space="preserve">Documented Results: </w:t>
      </w:r>
      <w:r>
        <w:rPr>
          <w:rFonts w:ascii="Times New Roman" w:cs="Times New Roman" w:eastAsia="Times New Roman" w:hAnsi="Times New Roman"/>
          <w:sz w:val="24"/>
          <w:szCs w:val="24"/>
        </w:rPr>
        <w:t xml:space="preserve">Reactivation campaigns show particularly strong uplift effects because lapsed customer populations contain distinct segments with very different reactivation probabilities. Literature surveys indicate that uplift-based reactivation targeting can dramatically improve efficiency by focusing resources on the subset of lapsed customers who are genuinely persuadable, avoiding wasted spend on customers who would return anyway or those who are permanently lost (Devriendt et al., 2018; Kumar, Bhagwat and Zhang, 2015).</w:t>
      </w:r>
    </w:p>
    <w:p>
      <w:pPr>
        <w:pStyle w:val="Heading2"/>
      </w:pPr>
      <w:r>
        <w:t xml:space="preserve">3.5 Cross-Sell and Upsell Optimisation</w:t>
      </w:r>
    </w:p>
    <w:p>
      <w:pPr>
        <w:spacing w:after="200" w:line="276"/>
      </w:pPr>
      <w:r>
        <w:rPr>
          <w:rFonts w:ascii="Times New Roman" w:cs="Times New Roman" w:eastAsia="Times New Roman" w:hAnsi="Times New Roman"/>
          <w:b/>
          <w:bCs/>
          <w:sz w:val="24"/>
          <w:szCs w:val="24"/>
        </w:rPr>
        <w:t xml:space="preserve">Problem: </w:t>
      </w:r>
      <w:r>
        <w:rPr>
          <w:rFonts w:ascii="Times New Roman" w:cs="Times New Roman" w:eastAsia="Times New Roman" w:hAnsi="Times New Roman"/>
          <w:sz w:val="24"/>
          <w:szCs w:val="24"/>
        </w:rPr>
        <w:t xml:space="preserve">Operators want to expand player engagement across multiple game types or spending tiers. However, promoting new products to customers who would have discovered them organically wastes promotional budget and may train customers to expect discounts (Anderson and Simester, 2004).</w:t>
      </w:r>
    </w:p>
    <w:p>
      <w:pPr>
        <w:spacing w:after="200" w:line="276"/>
      </w:pPr>
      <w:r>
        <w:rPr>
          <w:rFonts w:ascii="Times New Roman" w:cs="Times New Roman" w:eastAsia="Times New Roman" w:hAnsi="Times New Roman"/>
          <w:b/>
          <w:bCs/>
          <w:sz w:val="24"/>
          <w:szCs w:val="24"/>
        </w:rPr>
        <w:t xml:space="preserve">Solution: </w:t>
      </w:r>
      <w:r>
        <w:rPr>
          <w:rFonts w:ascii="Times New Roman" w:cs="Times New Roman" w:eastAsia="Times New Roman" w:hAnsi="Times New Roman"/>
          <w:sz w:val="24"/>
          <w:szCs w:val="24"/>
        </w:rPr>
        <w:t xml:space="preserve">Uplift modelling identifies customers whose cross-category or upgrade behaviour depends on promotional intervention. This focuses cross-sell resources on customers who need the nudge, rather than those who are already on a natural expansion path.</w:t>
      </w:r>
    </w:p>
    <w:p>
      <w:pPr>
        <w:spacing w:after="200" w:line="276"/>
      </w:pPr>
      <w:r>
        <w:rPr>
          <w:rFonts w:ascii="Times New Roman" w:cs="Times New Roman" w:eastAsia="Times New Roman" w:hAnsi="Times New Roman"/>
          <w:b/>
          <w:bCs/>
          <w:sz w:val="24"/>
          <w:szCs w:val="24"/>
        </w:rPr>
        <w:t xml:space="preserve">Documented Results: </w:t>
      </w:r>
      <w:r>
        <w:rPr>
          <w:rFonts w:ascii="Times New Roman" w:cs="Times New Roman" w:eastAsia="Times New Roman" w:hAnsi="Times New Roman"/>
          <w:sz w:val="24"/>
          <w:szCs w:val="24"/>
        </w:rPr>
        <w:t xml:space="preserve">Cross-sell and upsell applications benefit from uplift modelling because many customers naturally progress to higher tiers without promotional intervention. By identifying customers whose upgrade behaviour genuinely depends on outreach, organisations can reduce promotional volume while maintaining or improving incremental conversions. Verbeke et al. (2012) demonstrate profit-driven targeting approaches that account for both response probability and customer value, principles directly applicable to cross-sell optimisation.</w:t>
      </w:r>
    </w:p>
    <w:p>
      <w:pPr>
        <w:pStyle w:val="Heading2"/>
      </w:pPr>
      <w:r>
        <w:t xml:space="preserve">3.6 Responsible Gaming Interventions</w:t>
      </w:r>
    </w:p>
    <w:p>
      <w:pPr>
        <w:spacing w:after="200" w:line="276"/>
      </w:pPr>
      <w:r>
        <w:rPr>
          <w:rFonts w:ascii="Times New Roman" w:cs="Times New Roman" w:eastAsia="Times New Roman" w:hAnsi="Times New Roman"/>
          <w:b/>
          <w:bCs/>
          <w:sz w:val="24"/>
          <w:szCs w:val="24"/>
        </w:rPr>
        <w:t xml:space="preserve">Problem: </w:t>
      </w:r>
      <w:r>
        <w:rPr>
          <w:rFonts w:ascii="Times New Roman" w:cs="Times New Roman" w:eastAsia="Times New Roman" w:hAnsi="Times New Roman"/>
          <w:sz w:val="24"/>
          <w:szCs w:val="24"/>
        </w:rPr>
        <w:t xml:space="preserve">Gaming operators have ethical and regulatory obligations to identify and intervene with players showing signs of problem gambling. However, interventions must be carefully targeted to avoid unnecessarily disrupting healthy players while still reaching those who need support (Auer and Griffiths, 2016).</w:t>
      </w:r>
    </w:p>
    <w:p>
      <w:pPr>
        <w:spacing w:after="200" w:line="276"/>
      </w:pPr>
      <w:r>
        <w:rPr>
          <w:rFonts w:ascii="Times New Roman" w:cs="Times New Roman" w:eastAsia="Times New Roman" w:hAnsi="Times New Roman"/>
          <w:b/>
          <w:bCs/>
          <w:sz w:val="24"/>
          <w:szCs w:val="24"/>
        </w:rPr>
        <w:t xml:space="preserve">Solution: </w:t>
      </w:r>
      <w:r>
        <w:rPr>
          <w:rFonts w:ascii="Times New Roman" w:cs="Times New Roman" w:eastAsia="Times New Roman" w:hAnsi="Times New Roman"/>
          <w:sz w:val="24"/>
          <w:szCs w:val="24"/>
        </w:rPr>
        <w:t xml:space="preserve">Uplift modelling can identify which players showing at-risk indicators would benefit from intervention messages or cooling-off suggestions. This enables operators to fulfil duty-of-care obligations while minimising unnecessary friction for the majority of healthy players.</w:t>
      </w:r>
    </w:p>
    <w:p>
      <w:pPr>
        <w:spacing w:after="200" w:line="276"/>
      </w:pPr>
      <w:r>
        <w:rPr>
          <w:rFonts w:ascii="Times New Roman" w:cs="Times New Roman" w:eastAsia="Times New Roman" w:hAnsi="Times New Roman"/>
          <w:b/>
          <w:bCs/>
          <w:sz w:val="24"/>
          <w:szCs w:val="24"/>
        </w:rPr>
        <w:t xml:space="preserve">Documented Results: </w:t>
      </w:r>
      <w:r>
        <w:rPr>
          <w:rFonts w:ascii="Times New Roman" w:cs="Times New Roman" w:eastAsia="Times New Roman" w:hAnsi="Times New Roman"/>
          <w:sz w:val="24"/>
          <w:szCs w:val="24"/>
        </w:rPr>
        <w:t xml:space="preserve">Randomised controlled trials in responsible gaming have demonstrated that targeted interventions can meaningfully reduce problematic gambling behaviour. Jonsson et al. (2020) found that telephone-based interventions reduced gambling losses by approximately 30% among high-risk players, while letter-based contact produced 13% reductions. Machine learning approaches can help identify which at-risk players would benefit most from intervention, enabling operators to allocate support resources more effectively (Auer and Griffiths, 2016).</w:t>
      </w:r>
    </w:p>
    <w:p>
      <w:pPr>
        <w:spacing w:before="200" w:after="100"/>
        <w:jc w:val="center"/>
      </w:pPr>
      <w:r>
        <w:rPr>
          <w:b/>
          <w:bCs/>
          <w:sz w:val="22"/>
          <w:szCs w:val="22"/>
        </w:rPr>
        <w:t xml:space="preserve">Table 2: Summary of Business Applications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2"/>
                <w:szCs w:val="22"/>
              </w:rPr>
              <w:t xml:space="preserve">Application</w:t>
            </w:r>
          </w:p>
        </w:tc>
        <w:tc>
          <w:tcPr>
            <w:tcW w:type="dxa" w:w="32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2"/>
                <w:szCs w:val="22"/>
              </w:rPr>
              <w:t xml:space="preserve">Problem Solved</w:t>
            </w:r>
          </w:p>
        </w:tc>
        <w:tc>
          <w:tcPr>
            <w:tcW w:type="dxa" w:w="396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2"/>
                <w:szCs w:val="22"/>
              </w:rPr>
              <w:t xml:space="preserve">Typical Improvement</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Retention</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Wasted spend on non-churners</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4-9 pp retention improvement</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Budget Allocation</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Sub-optimal spend distribution</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100-200% response improvement</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Offer Personalisation</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Over-discounting to some</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Reduced discounting, maintained response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Reactivation</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Low response from lapsed users</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Improved targeting efficiency</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Cross-Sell</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Promoting to natural adopters</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Higher incremental conversion rate</w:t>
            </w:r>
          </w:p>
        </w:tc>
      </w:tr>
    </w:tbl>
    <w:p>
      <w:pPr>
        <w:spacing w:after="200"/>
      </w:pPr>
    </w:p>
    <w:p>
      <w:r>
        <w:br w:type="page"/>
      </w:r>
    </w:p>
    <w:p>
      <w:pPr>
        <w:pStyle w:val="Heading1"/>
      </w:pPr>
      <w:r>
        <w:t xml:space="preserve">4. System Architecture Overview</w:t>
      </w:r>
    </w:p>
    <w:p>
      <w:pPr>
        <w:spacing w:after="200" w:line="276"/>
      </w:pPr>
      <w:r>
        <w:rPr>
          <w:rFonts w:ascii="Times New Roman" w:cs="Times New Roman" w:eastAsia="Times New Roman" w:hAnsi="Times New Roman"/>
          <w:sz w:val="24"/>
          <w:szCs w:val="24"/>
        </w:rPr>
        <w:t xml:space="preserve">Before examining the technical details of each component, it is helpful to understand how the various elements of the framework fit together. Figure 1 presents a schematic view of the complete system architecture, from data foundation through continuous learning.</w:t>
      </w:r>
    </w:p>
    <w:p>
      <w:pPr>
        <w:spacing w:after="200" w:line="276"/>
      </w:pPr>
      <w:r>
        <w:rPr>
          <w:rFonts w:ascii="Times New Roman" w:cs="Times New Roman" w:eastAsia="Times New Roman" w:hAnsi="Times New Roman"/>
          <w:sz w:val="24"/>
          <w:szCs w:val="24"/>
        </w:rPr>
        <w:t xml:space="preserve">The architecture consists of six interconnected phases. Phase 1 establishes the data foundation through randomised experimentation, splitting the player base into treatment and control groups. Phase 2 engineers features from player behaviour data across monetary, behavioural, engagement, and temporal dimensions. Phase 3 trains three predictive models in parallel: the LTV model estimates player value, the churn model predicts departure probability, and the uplift model (the core of the system) estimates the causal effect of bonus interventions.</w:t>
      </w:r>
    </w:p>
    <w:p>
      <w:pPr>
        <w:spacing w:after="200" w:line="276"/>
      </w:pPr>
      <w:r>
        <w:rPr>
          <w:rFonts w:ascii="Times New Roman" w:cs="Times New Roman" w:eastAsia="Times New Roman" w:hAnsi="Times New Roman"/>
          <w:sz w:val="24"/>
          <w:szCs w:val="24"/>
        </w:rPr>
        <w:t xml:space="preserve">Phase 4 combines these model outputs through an optimisation layer that applies business rules and budget constraints to generate prioritised targeting decisions. Phase 5 operationalises these decisions through a scoring pipeline that updates the live scoring table and delivers bonuses to eligible players. Finally, Phase 6 implements continuous learning through an always-on holdout structure that provides fresh experimental data for model retraining.</w:t>
      </w:r>
    </w:p>
    <w:p>
      <w:pPr>
        <w:spacing w:after="200" w:line="276"/>
      </w:pPr>
      <w:r>
        <w:rPr>
          <w:rFonts w:ascii="Times New Roman" w:cs="Times New Roman" w:eastAsia="Times New Roman" w:hAnsi="Times New Roman"/>
          <w:sz w:val="24"/>
          <w:szCs w:val="24"/>
        </w:rPr>
        <w:t xml:space="preserve">Two feedback loops maintain system performance over time: a weekly rescoring cycle that updates player scores based on their evolving features, and a monthly retraining cycle that refreshes the models themselves based on accumulated experimental data.</w:t>
      </w:r>
    </w:p>
    <w:p>
      <w:pPr>
        <w:spacing w:before="300" w:after="100"/>
        <w:jc w:val="center"/>
      </w:pPr>
      <w:r>
        <w:rPr>
          <w:rFonts w:ascii="Times New Roman" w:cs="Times New Roman" w:eastAsia="Times New Roman" w:hAnsi="Times New Roman"/>
          <w:b/>
          <w:bCs/>
          <w:sz w:val="22"/>
          <w:szCs w:val="22"/>
        </w:rPr>
        <w:t xml:space="preserve">Figure 1: ML Bonus Optimisation System Architecture</w:t>
      </w:r>
    </w:p>
    <w:p>
      <w:pPr>
        <w:spacing w:after="200"/>
        <w:jc w:val="center"/>
      </w:pPr>
      <w:r>
        <w:drawing>
          <wp:inline distT="0" distB="0" distL="0" distR="0">
            <wp:extent cx="5238750" cy="5905500"/>
            <wp:effectExtent t="0" r="0" b="0" l="0"/>
            <wp:docPr id="1" name="architecture-diagram" descr="A flowchart showing the six phases of the ML bonus optimisation system" title="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5905500"/>
                    </a:xfrm>
                    <a:prstGeom prst="rect">
                      <a:avLst/>
                    </a:prstGeom>
                  </pic:spPr>
                </pic:pic>
              </a:graphicData>
            </a:graphic>
          </wp:inline>
        </w:drawing>
      </w:r>
    </w:p>
    <w:p>
      <w:pPr>
        <w:spacing w:after="200" w:line="276"/>
      </w:pPr>
      <w:r>
        <w:rPr>
          <w:rFonts w:ascii="Times New Roman" w:cs="Times New Roman" w:eastAsia="Times New Roman" w:hAnsi="Times New Roman"/>
          <w:sz w:val="24"/>
          <w:szCs w:val="24"/>
        </w:rPr>
        <w:t xml:space="preserve">The diagram highlights several key architectural principles. First, the uplift model (shown with emphasized borders) is the core differentiator that enables causal targeting rather than mere correlation-based prediction. Second, the three predictive models operate in parallel but their outputs are integrated at the optimisation phase. Third, the continuous learning infrastructure ensures the system adapts to evolving player behaviour and market conditions.</w:t>
      </w:r>
    </w:p>
    <w:p>
      <w:r>
        <w:br w:type="page"/>
      </w:r>
    </w:p>
    <w:p>
      <w:pPr>
        <w:pStyle w:val="Heading1"/>
      </w:pPr>
      <w:r>
        <w:t xml:space="preserve">5. Methodology</w:t>
      </w:r>
    </w:p>
    <w:p>
      <w:pPr>
        <w:pStyle w:val="Heading2"/>
      </w:pPr>
      <w:r>
        <w:t xml:space="preserve">5.1 Experimental Design</w:t>
      </w:r>
    </w:p>
    <w:p>
      <w:pPr>
        <w:spacing w:after="200" w:line="276"/>
      </w:pPr>
      <w:r>
        <w:rPr>
          <w:rFonts w:ascii="Times New Roman" w:cs="Times New Roman" w:eastAsia="Times New Roman" w:hAnsi="Times New Roman"/>
          <w:sz w:val="24"/>
          <w:szCs w:val="24"/>
        </w:rPr>
        <w:t xml:space="preserve">The foundation of any causal modelling effort is high-quality experimental data. Without randomised treatment assignment, we cannot distinguish causal effects from confounding factors. If bonuses are historically given to high-value players, any observed correlation between bonuses and engagement could reflect player quality rather than bonus effectiveness (Rubin, 2005).</w:t>
      </w:r>
    </w:p>
    <w:p>
      <w:pPr>
        <w:spacing w:after="200" w:line="276"/>
      </w:pPr>
      <w:r>
        <w:rPr>
          <w:rFonts w:ascii="Times New Roman" w:cs="Times New Roman" w:eastAsia="Times New Roman" w:hAnsi="Times New Roman"/>
          <w:sz w:val="24"/>
          <w:szCs w:val="24"/>
        </w:rPr>
        <w:t xml:space="preserve">Our framework begins with a randomised controlled experiment. From the active player population, we randomly sample a subset for inclusion in the experiment. This sample is then randomly divided into treatment and control groups. The treatment group receives the bonus intervention; the control group receives no bonus. Randomisation ensures that, in expectation, the two groups are identical on all observable and unobservable characteristics. Any difference in outcomes between the groups can therefore be attributed to the treatment (Athey and Imbens, 2017).</w:t>
      </w:r>
    </w:p>
    <w:p>
      <w:pPr>
        <w:spacing w:after="200" w:line="276"/>
      </w:pPr>
      <w:r>
        <w:rPr>
          <w:rFonts w:ascii="Times New Roman" w:cs="Times New Roman" w:eastAsia="Times New Roman" w:hAnsi="Times New Roman"/>
          <w:b/>
          <w:bCs/>
          <w:sz w:val="24"/>
          <w:szCs w:val="24"/>
        </w:rPr>
        <w:t xml:space="preserve">Sample Size Considerations: </w:t>
      </w:r>
      <w:r>
        <w:rPr>
          <w:rFonts w:ascii="Times New Roman" w:cs="Times New Roman" w:eastAsia="Times New Roman" w:hAnsi="Times New Roman"/>
          <w:sz w:val="24"/>
          <w:szCs w:val="24"/>
        </w:rPr>
        <w:t xml:space="preserve">The experiment must be large enough to detect the treatment effects we care about. Uplift effects are typically smaller than main effects, requiring larger samples. A rough guideline is that uplift experiments need two to four times the sample size of traditional response experiments for equivalent statistical power (Radcliffe and Surry, 2011). This is because we are estimating a difference of differences rather than a simple difference. For formal sample size calculations, power analysis frameworks for detecting heterogeneous treatment effects are available (Athey and Imbens, 2016), though in practice many practitioners rely on simulation-based approaches to determine required sample sizes for their specific effect sizes and baseline rates.</w:t>
      </w:r>
    </w:p>
    <w:p>
      <w:pPr>
        <w:spacing w:after="200" w:line="276"/>
      </w:pPr>
      <w:r>
        <w:rPr>
          <w:rFonts w:ascii="Times New Roman" w:cs="Times New Roman" w:eastAsia="Times New Roman" w:hAnsi="Times New Roman"/>
          <w:b/>
          <w:bCs/>
          <w:sz w:val="24"/>
          <w:szCs w:val="24"/>
        </w:rPr>
        <w:t xml:space="preserve">Duration Considerations: </w:t>
      </w:r>
      <w:r>
        <w:rPr>
          <w:rFonts w:ascii="Times New Roman" w:cs="Times New Roman" w:eastAsia="Times New Roman" w:hAnsi="Times New Roman"/>
          <w:sz w:val="24"/>
          <w:szCs w:val="24"/>
        </w:rPr>
        <w:t xml:space="preserve">The experiment must run long enough to capture the full behavioural response. If the outcome of interest is a purchase within seven days, the experiment should run for at least seven days after treatment delivery. Longer windows may be necessary if delayed effects are expected.</w:t>
      </w:r>
    </w:p>
    <w:p>
      <w:pPr>
        <w:spacing w:after="200" w:line="276"/>
      </w:pPr>
      <w:r>
        <w:rPr>
          <w:rFonts w:ascii="Times New Roman" w:cs="Times New Roman" w:eastAsia="Times New Roman" w:hAnsi="Times New Roman"/>
          <w:b/>
          <w:bCs/>
          <w:sz w:val="24"/>
          <w:szCs w:val="24"/>
        </w:rPr>
        <w:t xml:space="preserve">Contamination Avoidance: </w:t>
      </w:r>
      <w:r>
        <w:rPr>
          <w:rFonts w:ascii="Times New Roman" w:cs="Times New Roman" w:eastAsia="Times New Roman" w:hAnsi="Times New Roman"/>
          <w:sz w:val="24"/>
          <w:szCs w:val="24"/>
        </w:rPr>
        <w:t xml:space="preserve">Treatment and control groups must remain cleanly separated. If control group players can observe treatment group players receiving bonuses (through social features or word of mouth), the control condition is contaminated. Similarly, if business processes override the randomisation (such as customer service manually issuing bonuses), the experiment is compromised.</w:t>
      </w:r>
    </w:p>
    <w:p>
      <w:pPr>
        <w:pStyle w:val="Heading2"/>
      </w:pPr>
      <w:r>
        <w:t xml:space="preserve">5.2 Feature Engineering</w:t>
      </w:r>
    </w:p>
    <w:p>
      <w:pPr>
        <w:spacing w:after="200" w:line="276"/>
      </w:pPr>
      <w:r>
        <w:rPr>
          <w:rFonts w:ascii="Times New Roman" w:cs="Times New Roman" w:eastAsia="Times New Roman" w:hAnsi="Times New Roman"/>
          <w:sz w:val="24"/>
          <w:szCs w:val="24"/>
        </w:rPr>
        <w:t xml:space="preserve">Features used for modelling must be available before treatment assignment. Using post-treatment data introduces leakage that invalidates causal inference (Kuhn and Johnson, 2013). The feature set typically includes:</w:t>
      </w:r>
    </w:p>
    <w:p>
      <w:pPr>
        <w:spacing w:after="200" w:line="276"/>
      </w:pPr>
      <w:r>
        <w:rPr>
          <w:rFonts w:ascii="Times New Roman" w:cs="Times New Roman" w:eastAsia="Times New Roman" w:hAnsi="Times New Roman"/>
          <w:b/>
          <w:bCs/>
          <w:sz w:val="24"/>
          <w:szCs w:val="24"/>
        </w:rPr>
        <w:t xml:space="preserve">Monetary Features: </w:t>
      </w:r>
      <w:r>
        <w:rPr>
          <w:rFonts w:ascii="Times New Roman" w:cs="Times New Roman" w:eastAsia="Times New Roman" w:hAnsi="Times New Roman"/>
          <w:sz w:val="24"/>
          <w:szCs w:val="24"/>
        </w:rPr>
        <w:t xml:space="preserve">Total deposits, average transaction size, spending velocity, trends over multiple time windows (7-day, 30-day, 90-day rolling averages).</w:t>
      </w:r>
    </w:p>
    <w:p>
      <w:pPr>
        <w:spacing w:after="200" w:line="276"/>
      </w:pPr>
      <w:r>
        <w:rPr>
          <w:rFonts w:ascii="Times New Roman" w:cs="Times New Roman" w:eastAsia="Times New Roman" w:hAnsi="Times New Roman"/>
          <w:b/>
          <w:bCs/>
          <w:sz w:val="24"/>
          <w:szCs w:val="24"/>
        </w:rPr>
        <w:t xml:space="preserve">Behavioural Features: </w:t>
      </w:r>
      <w:r>
        <w:rPr>
          <w:rFonts w:ascii="Times New Roman" w:cs="Times New Roman" w:eastAsia="Times New Roman" w:hAnsi="Times New Roman"/>
          <w:sz w:val="24"/>
          <w:szCs w:val="24"/>
        </w:rPr>
        <w:t xml:space="preserve">Login frequency, days since last login, session count, session duration, time-of-day patterns, day-of-week patterns.</w:t>
      </w:r>
    </w:p>
    <w:p>
      <w:pPr>
        <w:spacing w:after="200" w:line="276"/>
      </w:pPr>
      <w:r>
        <w:rPr>
          <w:rFonts w:ascii="Times New Roman" w:cs="Times New Roman" w:eastAsia="Times New Roman" w:hAnsi="Times New Roman"/>
          <w:b/>
          <w:bCs/>
          <w:sz w:val="24"/>
          <w:szCs w:val="24"/>
        </w:rPr>
        <w:t xml:space="preserve">Engagement Features: </w:t>
      </w:r>
      <w:r>
        <w:rPr>
          <w:rFonts w:ascii="Times New Roman" w:cs="Times New Roman" w:eastAsia="Times New Roman" w:hAnsi="Times New Roman"/>
          <w:sz w:val="24"/>
          <w:szCs w:val="24"/>
        </w:rPr>
        <w:t xml:space="preserve">Game type preferences, feature adoption, notification response rates, historical promotion redemption rates.</w:t>
      </w:r>
    </w:p>
    <w:p>
      <w:pPr>
        <w:spacing w:after="200" w:line="276"/>
      </w:pPr>
      <w:r>
        <w:rPr>
          <w:rFonts w:ascii="Times New Roman" w:cs="Times New Roman" w:eastAsia="Times New Roman" w:hAnsi="Times New Roman"/>
          <w:b/>
          <w:bCs/>
          <w:sz w:val="24"/>
          <w:szCs w:val="24"/>
        </w:rPr>
        <w:t xml:space="preserve">Temporal Features: </w:t>
      </w:r>
      <w:r>
        <w:rPr>
          <w:rFonts w:ascii="Times New Roman" w:cs="Times New Roman" w:eastAsia="Times New Roman" w:hAnsi="Times New Roman"/>
          <w:sz w:val="24"/>
          <w:szCs w:val="24"/>
        </w:rPr>
        <w:t xml:space="preserve">Account age, lifecycle stage, tenure milestones, seasonality indicators.</w:t>
      </w:r>
    </w:p>
    <w:p>
      <w:pPr>
        <w:spacing w:after="200" w:line="276"/>
      </w:pPr>
      <w:r>
        <w:rPr>
          <w:rFonts w:ascii="Times New Roman" w:cs="Times New Roman" w:eastAsia="Times New Roman" w:hAnsi="Times New Roman"/>
          <w:sz w:val="24"/>
          <w:szCs w:val="24"/>
        </w:rPr>
        <w:t xml:space="preserve">Feature engineering should focus on variables that might predict heterogeneous treatment effects. A variable that predicts outcomes equally well in treatment and control groups will not help identify persuadables. Variables that interact with treatment condition are most valuable (Künzel et al., 2019). For example, 'historical promotion redemption rate' may be a strong interaction variable: players who have never redeemed past promotions may be unlikely to respond to future bonuses (low uplift), while players with moderate redemption history may be highly responsive (high uplift). Similarly, 'days since last login' may interact with treatment: recently active players may not need bonuses to stay engaged, whereas players showing early disengagement signals may be precisely those whose behaviour a bonus could change.</w:t>
      </w:r>
    </w:p>
    <w:p>
      <w:pPr>
        <w:pStyle w:val="Heading2"/>
      </w:pPr>
      <w:r>
        <w:t xml:space="preserve">5.3 The Uplift Modelling Approach</w:t>
      </w:r>
    </w:p>
    <w:p>
      <w:pPr>
        <w:spacing w:after="200" w:line="276"/>
      </w:pPr>
      <w:r>
        <w:rPr>
          <w:rFonts w:ascii="Times New Roman" w:cs="Times New Roman" w:eastAsia="Times New Roman" w:hAnsi="Times New Roman"/>
          <w:sz w:val="24"/>
          <w:szCs w:val="24"/>
        </w:rPr>
        <w:t xml:space="preserve">The goal of uplift modelling is to estimate the Individual Treatment Effect (ITE) for each player, also known as the Conditional Average Treatment Effect (CATE) in the causal inference literature. The ITE is defined as the difference between the potential outcome under treatment and the potential outcome under control (Holland, 1986):</w:t>
      </w:r>
    </w:p>
    <w:p>
      <w:pPr>
        <w:spacing w:before="200" w:after="200"/>
        <w:jc w:val="center"/>
      </w:pPr>
      <w:r>
        <w:rPr>
          <w:i/>
          <w:iCs/>
          <w:sz w:val="26"/>
          <w:szCs w:val="26"/>
        </w:rPr>
        <w:t xml:space="preserve">ITE(x) = E[Y | X=x, T=1] - E[Y | X=x, T=0]</w:t>
      </w:r>
    </w:p>
    <w:p>
      <w:pPr>
        <w:spacing w:after="200" w:line="276"/>
      </w:pPr>
      <w:r>
        <w:rPr>
          <w:rFonts w:ascii="Times New Roman" w:cs="Times New Roman" w:eastAsia="Times New Roman" w:hAnsi="Times New Roman"/>
          <w:sz w:val="24"/>
          <w:szCs w:val="24"/>
        </w:rPr>
        <w:t xml:space="preserve">Where Y is the outcome of interest (in our case, a binary indicator of player engagement in the observation window), X represents player features, and T indicates treatment assignment. The fundamental problem of causal inference is that we can never observe both potential outcomes for the same individual. A player either receives a bonus or does not; we cannot observe the counterfactual (Rubin, 1974).</w:t>
      </w:r>
    </w:p>
    <w:p>
      <w:pPr>
        <w:spacing w:after="200" w:line="276"/>
      </w:pPr>
      <w:r>
        <w:rPr>
          <w:rFonts w:ascii="Times New Roman" w:cs="Times New Roman" w:eastAsia="Times New Roman" w:hAnsi="Times New Roman"/>
          <w:sz w:val="24"/>
          <w:szCs w:val="24"/>
        </w:rPr>
        <w:t xml:space="preserve">Uplift modelling addresses this by learning from groups of similar players in treatment and control conditions, then generalizing to predict individual-level effects. Several algorithmic approaches exist, and we describe the main options below. In our implementation, we employ the T-Learner approach due to its flexibility and interpretability, though the framework is agnostic to the specific uplift algorithm used.</w:t>
      </w:r>
    </w:p>
    <w:p>
      <w:pPr>
        <w:pStyle w:val="Heading3"/>
      </w:pPr>
      <w:r>
        <w:t xml:space="preserve">5.3.1 The T-Learner Approach</w:t>
      </w:r>
    </w:p>
    <w:p>
      <w:pPr>
        <w:spacing w:after="200" w:line="276"/>
      </w:pPr>
      <w:r>
        <w:rPr>
          <w:rFonts w:ascii="Times New Roman" w:cs="Times New Roman" w:eastAsia="Times New Roman" w:hAnsi="Times New Roman"/>
          <w:sz w:val="24"/>
          <w:szCs w:val="24"/>
        </w:rPr>
        <w:t xml:space="preserve">The T-Learner (Two-Model Learner) trains separate predictive models for treatment and control groups (Künzel et al., 2019). The treatment model learns to predict outcomes for players who received bonuses. The control model learns to predict outcomes for players who did not receive bonuses. At scoring time, a new player is passed through both models, and the uplift is computed as the difference between predictions.</w:t>
      </w:r>
    </w:p>
    <w:p>
      <w:pPr>
        <w:spacing w:after="200" w:line="276"/>
      </w:pPr>
      <w:r>
        <w:rPr>
          <w:rFonts w:ascii="Times New Roman" w:cs="Times New Roman" w:eastAsia="Times New Roman" w:hAnsi="Times New Roman"/>
          <w:sz w:val="24"/>
          <w:szCs w:val="24"/>
        </w:rPr>
        <w:t xml:space="preserve">Formally, we train two models:</w:t>
      </w:r>
    </w:p>
    <w:p>
      <w:pPr>
        <w:spacing w:before="100" w:after="100"/>
        <w:jc w:val="center"/>
      </w:pPr>
      <w:r>
        <w:rPr>
          <w:i/>
          <w:iCs/>
          <w:sz w:val="24"/>
          <w:szCs w:val="24"/>
        </w:rPr>
        <w:t xml:space="preserve">Treatment model: μ₁(x) estimates E[Y | X=x, T=1]</w:t>
      </w:r>
    </w:p>
    <w:p>
      <w:pPr>
        <w:spacing w:before="100" w:after="100"/>
        <w:jc w:val="center"/>
      </w:pPr>
      <w:r>
        <w:rPr>
          <w:i/>
          <w:iCs/>
          <w:sz w:val="24"/>
          <w:szCs w:val="24"/>
        </w:rPr>
        <w:t xml:space="preserve">Control model: μ₀(x) estimates E[Y | X=x, T=0]</w:t>
      </w:r>
    </w:p>
    <w:p>
      <w:pPr>
        <w:spacing w:before="100" w:after="200"/>
        <w:jc w:val="center"/>
      </w:pPr>
      <w:r>
        <w:rPr>
          <w:i/>
          <w:iCs/>
          <w:sz w:val="24"/>
          <w:szCs w:val="24"/>
        </w:rPr>
        <w:t xml:space="preserve">Uplift(x) = μ₁(x) - μ₀(x)</w:t>
      </w:r>
    </w:p>
    <w:p>
      <w:pPr>
        <w:spacing w:after="200" w:line="276"/>
      </w:pPr>
      <w:r>
        <w:rPr>
          <w:rFonts w:ascii="Times New Roman" w:cs="Times New Roman" w:eastAsia="Times New Roman" w:hAnsi="Times New Roman"/>
          <w:sz w:val="24"/>
          <w:szCs w:val="24"/>
        </w:rPr>
        <w:t xml:space="preserve">The T-Learner is conceptually simple and allows the use of any supervised learning algorithm. Its main limitation is that the two models are trained independently, potentially leading to high variance in the uplift estimate when treatment effects are small.</w:t>
      </w:r>
    </w:p>
    <w:p>
      <w:pPr>
        <w:pStyle w:val="Heading3"/>
      </w:pPr>
      <w:r>
        <w:t xml:space="preserve">5.3.2 Alternative Approaches</w:t>
      </w:r>
    </w:p>
    <w:p>
      <w:pPr>
        <w:spacing w:after="200" w:line="276"/>
      </w:pPr>
      <w:r>
        <w:rPr>
          <w:rFonts w:ascii="Times New Roman" w:cs="Times New Roman" w:eastAsia="Times New Roman" w:hAnsi="Times New Roman"/>
          <w:b/>
          <w:bCs/>
          <w:sz w:val="24"/>
          <w:szCs w:val="24"/>
        </w:rPr>
        <w:t xml:space="preserve">S-Learner (Single Model): </w:t>
      </w:r>
      <w:r>
        <w:rPr>
          <w:rFonts w:ascii="Times New Roman" w:cs="Times New Roman" w:eastAsia="Times New Roman" w:hAnsi="Times New Roman"/>
          <w:sz w:val="24"/>
          <w:szCs w:val="24"/>
        </w:rPr>
        <w:t xml:space="preserve">Trains one model with treatment as an additional feature. Uplift is computed as the difference in predictions when the treatment feature is toggled. This approach can underestimate treatment effects when the treatment signal is weak relative to other features (Künzel et al., 2019).</w:t>
      </w:r>
    </w:p>
    <w:p>
      <w:pPr>
        <w:spacing w:after="200" w:line="276"/>
      </w:pPr>
      <w:r>
        <w:rPr>
          <w:rFonts w:ascii="Times New Roman" w:cs="Times New Roman" w:eastAsia="Times New Roman" w:hAnsi="Times New Roman"/>
          <w:b/>
          <w:bCs/>
          <w:sz w:val="24"/>
          <w:szCs w:val="24"/>
        </w:rPr>
        <w:t xml:space="preserve">X-Learner: </w:t>
      </w:r>
      <w:r>
        <w:rPr>
          <w:rFonts w:ascii="Times New Roman" w:cs="Times New Roman" w:eastAsia="Times New Roman" w:hAnsi="Times New Roman"/>
          <w:sz w:val="24"/>
          <w:szCs w:val="24"/>
        </w:rPr>
        <w:t xml:space="preserve">A more sophisticated approach that uses cross-estimation to improve efficiency when treatment and control groups are imbalanced. It first trains T-Learner style models, then imputes individual treatment effects in each group, and finally trains models to predict these imputed effects (Künzel et al., 2019). The X-Learner is particularly well-suited to gaming contexts where treatment effects are often small relative to baseline variation and where control groups may be kept small to minimise opportunity cost. By leveraging information from both groups more efficiently, the X-Learner can yield lower-variance uplift estimates than the T-Learner in such settings.</w:t>
      </w:r>
    </w:p>
    <w:p>
      <w:pPr>
        <w:spacing w:after="200" w:line="276"/>
      </w:pPr>
      <w:r>
        <w:rPr>
          <w:rFonts w:ascii="Times New Roman" w:cs="Times New Roman" w:eastAsia="Times New Roman" w:hAnsi="Times New Roman"/>
          <w:b/>
          <w:bCs/>
          <w:sz w:val="24"/>
          <w:szCs w:val="24"/>
        </w:rPr>
        <w:t xml:space="preserve">Causal Forests: </w:t>
      </w:r>
      <w:r>
        <w:rPr>
          <w:rFonts w:ascii="Times New Roman" w:cs="Times New Roman" w:eastAsia="Times New Roman" w:hAnsi="Times New Roman"/>
          <w:sz w:val="24"/>
          <w:szCs w:val="24"/>
        </w:rPr>
        <w:t xml:space="preserve">Tree-based methods that directly partition the feature space to maximise treatment effect heterogeneity. These methods can discover complex interactions between features and treatment without explicit specification (Wager and Athey, 2018).</w:t>
      </w:r>
    </w:p>
    <w:p>
      <w:pPr>
        <w:spacing w:after="200" w:line="276"/>
      </w:pPr>
      <w:r>
        <w:rPr>
          <w:rFonts w:ascii="Times New Roman" w:cs="Times New Roman" w:eastAsia="Times New Roman" w:hAnsi="Times New Roman"/>
          <w:sz w:val="24"/>
          <w:szCs w:val="24"/>
        </w:rPr>
        <w:t xml:space="preserve">Additional approaches include support vector machines adapted for uplift estimation (Zaniewicz and Jaroszewicz, 2013) and various ensemble methods that combine multiple uplift learners. The choice of algorithm depends on data characteristics, interpretability requirements, and computational constraints. Regardless of the specific method, all approaches share the goal of estimating heterogeneous treatment effects from experimental data.</w:t>
      </w:r>
    </w:p>
    <w:p>
      <w:r>
        <w:br w:type="page"/>
      </w:r>
    </w:p>
    <w:p>
      <w:pPr>
        <w:pStyle w:val="Heading1"/>
      </w:pPr>
      <w:r>
        <w:t xml:space="preserve">6. Multi-Model Architecture</w:t>
      </w:r>
    </w:p>
    <w:p>
      <w:pPr>
        <w:spacing w:after="200" w:line="276"/>
      </w:pPr>
      <w:r>
        <w:rPr>
          <w:rFonts w:ascii="Times New Roman" w:cs="Times New Roman" w:eastAsia="Times New Roman" w:hAnsi="Times New Roman"/>
          <w:sz w:val="24"/>
          <w:szCs w:val="24"/>
        </w:rPr>
        <w:t xml:space="preserve">While uplift modelling identifies who is persuadable, optimal bonus allocation requires additional context. A persuadable player who generates $10 in lifetime value may be less attractive than a moderately persuadable player who generates $1,000. Similarly, a player at high risk of churning may warrant intervention even if their uplift score is modest (Ascarza, 2018).</w:t>
      </w:r>
    </w:p>
    <w:p>
      <w:pPr>
        <w:spacing w:after="200" w:line="276"/>
      </w:pPr>
      <w:r>
        <w:rPr>
          <w:rFonts w:ascii="Times New Roman" w:cs="Times New Roman" w:eastAsia="Times New Roman" w:hAnsi="Times New Roman"/>
          <w:sz w:val="24"/>
          <w:szCs w:val="24"/>
        </w:rPr>
        <w:t xml:space="preserve">Our framework combines three predictive models that together enable nuanced optimisation:</w:t>
      </w:r>
    </w:p>
    <w:p>
      <w:pPr>
        <w:pStyle w:val="Heading2"/>
      </w:pPr>
      <w:r>
        <w:t xml:space="preserve">6.1 Lifetime Value (LTV) Model</w:t>
      </w:r>
    </w:p>
    <w:p>
      <w:pPr>
        <w:spacing w:after="200" w:line="276"/>
      </w:pPr>
      <w:r>
        <w:rPr>
          <w:rFonts w:ascii="Times New Roman" w:cs="Times New Roman" w:eastAsia="Times New Roman" w:hAnsi="Times New Roman"/>
          <w:sz w:val="24"/>
          <w:szCs w:val="24"/>
        </w:rPr>
        <w:t xml:space="preserve">The LTV model predicts the expected future revenue from each player over a defined horizon, typically 12 months. This regression model takes player features as input and outputs a dollar-valued prediction. Common approaches include gradient boosting, neural networks, and survival models with revenue overlays (Fader, Hardie and Lee, 2005).</w:t>
      </w:r>
    </w:p>
    <w:p>
      <w:pPr>
        <w:spacing w:after="200" w:line="276"/>
      </w:pPr>
      <w:r>
        <w:rPr>
          <w:rFonts w:ascii="Times New Roman" w:cs="Times New Roman" w:eastAsia="Times New Roman" w:hAnsi="Times New Roman"/>
          <w:sz w:val="24"/>
          <w:szCs w:val="24"/>
        </w:rPr>
        <w:t xml:space="preserve">LTV predictions inform how much a player is worth protecting or acquiring. High-LTV players justify larger bonus investments. Low-LTV players may not be worth the cost of intervention regardless of their persuadability.</w:t>
      </w:r>
    </w:p>
    <w:p>
      <w:pPr>
        <w:pStyle w:val="Heading2"/>
      </w:pPr>
      <w:r>
        <w:t xml:space="preserve">6.2 Churn Probability Model</w:t>
      </w:r>
    </w:p>
    <w:p>
      <w:pPr>
        <w:spacing w:after="200" w:line="276"/>
      </w:pPr>
      <w:r>
        <w:rPr>
          <w:rFonts w:ascii="Times New Roman" w:cs="Times New Roman" w:eastAsia="Times New Roman" w:hAnsi="Times New Roman"/>
          <w:sz w:val="24"/>
          <w:szCs w:val="24"/>
        </w:rPr>
        <w:t xml:space="preserve">The churn model predicts the probability that a player will become inactive within a defined window, typically 30 days. This classification model outputs a probability between zero and one (Neslin et al., 2006).</w:t>
      </w:r>
    </w:p>
    <w:p>
      <w:pPr>
        <w:spacing w:after="200" w:line="276"/>
      </w:pPr>
      <w:r>
        <w:rPr>
          <w:rFonts w:ascii="Times New Roman" w:cs="Times New Roman" w:eastAsia="Times New Roman" w:hAnsi="Times New Roman"/>
          <w:sz w:val="24"/>
          <w:szCs w:val="24"/>
        </w:rPr>
        <w:t xml:space="preserve">Churn predictions identify the intervention window. A player with very low churn probability likely does not need a bonus to remain engaged. A player with very high churn probability may be beyond saving. Players in the moderate range represent the best opportunities for retention-focused interventions.</w:t>
      </w:r>
    </w:p>
    <w:p>
      <w:pPr>
        <w:pStyle w:val="Heading2"/>
      </w:pPr>
      <w:r>
        <w:t xml:space="preserve">6.3 Combining Model Outputs</w:t>
      </w:r>
    </w:p>
    <w:p>
      <w:pPr>
        <w:spacing w:after="200" w:line="276"/>
      </w:pPr>
      <w:r>
        <w:rPr>
          <w:rFonts w:ascii="Times New Roman" w:cs="Times New Roman" w:eastAsia="Times New Roman" w:hAnsi="Times New Roman"/>
          <w:sz w:val="24"/>
          <w:szCs w:val="24"/>
        </w:rPr>
        <w:t xml:space="preserve">The three model outputs can be combined into a unified priority score. We derive this from first principles by considering the expected incremental value of treating a player. Let the bonus cost be c (assumed constant across players for simplicity). The expected incremental revenue from treating player i is:</w:t>
      </w:r>
    </w:p>
    <w:p>
      <w:pPr>
        <w:spacing w:before="200" w:after="200"/>
        <w:jc w:val="center"/>
      </w:pPr>
      <w:r>
        <w:rPr>
          <w:i/>
          <w:iCs/>
          <w:sz w:val="24"/>
          <w:szCs w:val="24"/>
        </w:rPr>
        <w:t xml:space="preserve">E[Incremental Revenue_i] = Uplift_i × LTV_i</w:t>
      </w:r>
    </w:p>
    <w:p>
      <w:pPr>
        <w:spacing w:after="200" w:line="276"/>
      </w:pPr>
      <w:r>
        <w:rPr>
          <w:rFonts w:ascii="Times New Roman" w:cs="Times New Roman" w:eastAsia="Times New Roman" w:hAnsi="Times New Roman"/>
          <w:sz w:val="24"/>
          <w:szCs w:val="24"/>
        </w:rPr>
        <w:t xml:space="preserve">This follows because Uplift_i represents the increase in probability of retention (or engagement), and LTV_i represents the residual customer value conditioned on retention—that is, 'if we save this player, how much are they worth?' (not the expected value which would already incorporate churn probability). Their product gives the expected incremental dollars from the intervention. The net expected value is E[Incremental Revenue_i] - c, but since c is constant, ranking players by expected incremental revenue is equivalent to ranking by net value.</w:t>
      </w:r>
    </w:p>
    <w:p>
      <w:pPr>
        <w:spacing w:after="200" w:line="276"/>
      </w:pPr>
      <w:r>
        <w:rPr>
          <w:rFonts w:ascii="Times New Roman" w:cs="Times New Roman" w:eastAsia="Times New Roman" w:hAnsi="Times New Roman"/>
          <w:sz w:val="24"/>
          <w:szCs w:val="24"/>
        </w:rPr>
        <w:t xml:space="preserve">However, this simple formulation ignores intervention timing. A player with high uplift and LTV but very low churn probability may not need immediate intervention—their value can be captured later. Conversely, a player with moderate uplift but imminent churn requires immediate action or the opportunity is lost. We therefore introduce a timing modifier f(Churn) that captures the urgency of intervention, yielding our priority score:</w:t>
      </w:r>
    </w:p>
    <w:p>
      <w:pPr>
        <w:spacing w:before="200" w:after="200"/>
        <w:jc w:val="center"/>
      </w:pPr>
      <w:r>
        <w:rPr>
          <w:i/>
          <w:iCs/>
          <w:sz w:val="26"/>
          <w:szCs w:val="26"/>
        </w:rPr>
        <w:t xml:space="preserve">Priority = Uplift × LTV × f(Churn)</w:t>
      </w:r>
    </w:p>
    <w:p>
      <w:pPr>
        <w:spacing w:after="200" w:line="276"/>
      </w:pPr>
      <w:r>
        <w:rPr>
          <w:rFonts w:ascii="Times New Roman" w:cs="Times New Roman" w:eastAsia="Times New Roman" w:hAnsi="Times New Roman"/>
          <w:sz w:val="24"/>
          <w:szCs w:val="24"/>
        </w:rPr>
        <w:t xml:space="preserve">This multiplicative form ensures that players must score well on all dimensions to receive high priority: zero uplift (Sure Things or Lost Causes) yields zero priority regardless of value; zero LTV yields zero priority regardless of persuadability; and inappropriate timing (via low f(Churn)) reduces priority for players who can be addressed later. This formulation approximates expected incremental value with timing adjustment, and ranking by this score approximates the optimal solution to budget-constrained allocation under the assumption that player values are additive and independent.</w:t>
      </w:r>
    </w:p>
    <w:p>
      <w:pPr>
        <w:spacing w:after="200" w:line="276"/>
      </w:pPr>
      <w:r>
        <w:rPr>
          <w:rFonts w:ascii="Times New Roman" w:cs="Times New Roman" w:eastAsia="Times New Roman" w:hAnsi="Times New Roman"/>
          <w:sz w:val="24"/>
          <w:szCs w:val="24"/>
        </w:rPr>
        <w:t xml:space="preserve">It is important to acknowledge that f(Churn) serves primarily as a regularisation heuristic for variance reduction rather than a strict theoretical necessity. In principle, a perfectly specified uplift model should endogenously capture the relationship between base churn risk and treatability—very low-churn players have limited room for improvement, and very high-churn players who are genuinely unreachable should show low uplift. However, estimating heterogeneous treatment effects is notoriously noisy, particularly at the extremes of the churn distribution where data may be sparse. The f(Churn) modifier acts as a Bayesian prior, forcing the system to be conservative and preventing budget allocation to players where predicted uplift is likely statistical noise rather than genuine signal. This practical regularisation aligns with robust engineering practice even if not strictly required by causal theory (Ascarza, Iyengar and Schleicher, 2016).</w:t>
      </w:r>
    </w:p>
    <w:p>
      <w:pPr>
        <w:spacing w:after="200" w:line="276"/>
      </w:pPr>
      <w:r>
        <w:rPr>
          <w:rFonts w:ascii="Times New Roman" w:cs="Times New Roman" w:eastAsia="Times New Roman" w:hAnsi="Times New Roman"/>
          <w:sz w:val="24"/>
          <w:szCs w:val="24"/>
        </w:rPr>
        <w:t xml:space="preserve">A concrete example illustrates this concept. Consider a piecewise function where f(churn) = 0 for churn probability below 5% (these players are stable and do not need intervention), rises linearly to peak at f(churn) = 1.0 around churn probability of 40-60% (the persuadable window), then declines toward f(churn) = 0.2 for churn probability above 90% (players likely beyond saving). This inverse U-shape concentrates bonus resources on the moderate-risk segment where intervention is most likely to change outcomes. In practice, the exact shape and thresholds should be calibrated using historical data on intervention effectiveness across churn risk levels, and may be treated as tunable hyperparameters optimised through simulation or A/B testing.</w:t>
      </w:r>
    </w:p>
    <w:p>
      <w:pPr>
        <w:spacing w:after="200" w:line="276"/>
      </w:pPr>
      <w:r>
        <w:rPr>
          <w:rFonts w:ascii="Times New Roman" w:cs="Times New Roman" w:eastAsia="Times New Roman" w:hAnsi="Times New Roman"/>
          <w:sz w:val="24"/>
          <w:szCs w:val="24"/>
        </w:rPr>
        <w:t xml:space="preserve">More sophisticated approaches use constrained optimisation to maximise expected incremental revenue subject to budget constraints. These methods can incorporate diminishing returns, minimum bonus thresholds, and other business rules directly into the optimisation objective (Hitsch and Misra, 2024; Verbeke et al., 2023). Recent work on cost-sensitive causal classification provides additional frameworks for balancing treatment effects against intervention costs (Haupt and Lessmann, 2022).</w:t>
      </w:r>
    </w:p>
    <w:p>
      <w:pPr>
        <w:spacing w:after="200" w:line="276"/>
      </w:pPr>
      <w:r>
        <w:rPr>
          <w:rFonts w:ascii="Times New Roman" w:cs="Times New Roman" w:eastAsia="Times New Roman" w:hAnsi="Times New Roman"/>
          <w:sz w:val="24"/>
          <w:szCs w:val="24"/>
        </w:rPr>
        <w:t xml:space="preserve">It should be noted that our post-hoc multiplicative approach (Uplift × LTV × f(Churn)) differs methodologically from the integrated profit-maximisation approach advocated by Lemmens and Gupta (2020), who propose modifying the loss function during model training to weight observations by their potential value contribution. By separating uplift estimation from LTV estimation, our framework trades some theoretical optimality for modularity and interpretability—each component model can be developed, validated, and updated independently. Future implementations might explore integrating profit weights directly into the uplift model's loss function for potentially tighter coupling between causal estimation and value optimisation.</w:t>
      </w:r>
    </w:p>
    <w:p>
      <w:pPr>
        <w:spacing w:before="200" w:after="100"/>
        <w:jc w:val="center"/>
      </w:pPr>
      <w:r>
        <w:rPr>
          <w:b/>
          <w:bCs/>
          <w:sz w:val="22"/>
          <w:szCs w:val="22"/>
        </w:rPr>
        <w:t xml:space="preserve">Table 3: Player Profile Decision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400"/>
        <w:gridCol w:w="1400"/>
        <w:gridCol w:w="1400"/>
        <w:gridCol w:w="2820"/>
      </w:tblGrid>
      <w:tr>
        <w:tc>
          <w:tcPr>
            <w:tcW w:type="dxa" w:w="234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2"/>
                <w:szCs w:val="22"/>
              </w:rPr>
              <w:t xml:space="preserve">Profile</w:t>
            </w:r>
          </w:p>
        </w:tc>
        <w:tc>
          <w:tcPr>
            <w:tcW w:type="dxa" w:w="14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2"/>
                <w:szCs w:val="22"/>
              </w:rPr>
              <w:t xml:space="preserve">Uplift</w:t>
            </w:r>
          </w:p>
        </w:tc>
        <w:tc>
          <w:tcPr>
            <w:tcW w:type="dxa" w:w="14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2"/>
                <w:szCs w:val="22"/>
              </w:rPr>
              <w:t xml:space="preserve">LTV</w:t>
            </w:r>
          </w:p>
        </w:tc>
        <w:tc>
          <w:tcPr>
            <w:tcW w:type="dxa" w:w="14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2"/>
                <w:szCs w:val="22"/>
              </w:rPr>
              <w:t xml:space="preserve">Churn</w:t>
            </w:r>
          </w:p>
        </w:tc>
        <w:tc>
          <w:tcPr>
            <w:tcW w:type="dxa" w:w="282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2"/>
                <w:szCs w:val="22"/>
              </w:rPr>
              <w:t xml:space="preserve">Decision</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Prime Target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High</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High</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Medium</w:t>
            </w:r>
          </w:p>
        </w:tc>
        <w:tc>
          <w:tcPr>
            <w:tcW w:type="dxa" w:w="28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Maximum bonus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Loyal High-Value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Low</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High</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Low</w:t>
            </w:r>
          </w:p>
        </w:tc>
        <w:tc>
          <w:tcPr>
            <w:tcW w:type="dxa" w:w="28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No bonus needed</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At-Risk Unresponsive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Low</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High</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High</w:t>
            </w:r>
          </w:p>
        </w:tc>
        <w:tc>
          <w:tcPr>
            <w:tcW w:type="dxa" w:w="28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Different intervention</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Low-Value Persuadable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High</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Low</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High</w:t>
            </w:r>
          </w:p>
        </w:tc>
        <w:tc>
          <w:tcPr>
            <w:tcW w:type="dxa" w:w="28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Small bonus if budget allows</w:t>
            </w:r>
          </w:p>
        </w:tc>
      </w:tr>
    </w:tbl>
    <w:p>
      <w:pPr>
        <w:spacing w:after="200"/>
      </w:pPr>
    </w:p>
    <w:p>
      <w:r>
        <w:br w:type="page"/>
      </w:r>
    </w:p>
    <w:p>
      <w:pPr>
        <w:pStyle w:val="Heading1"/>
      </w:pPr>
      <w:r>
        <w:t xml:space="preserve">7. Operational Framework</w:t>
      </w:r>
    </w:p>
    <w:p>
      <w:pPr>
        <w:spacing w:after="200" w:line="276"/>
      </w:pPr>
      <w:r>
        <w:rPr>
          <w:rFonts w:ascii="Times New Roman" w:cs="Times New Roman" w:eastAsia="Times New Roman" w:hAnsi="Times New Roman"/>
          <w:sz w:val="24"/>
          <w:szCs w:val="24"/>
        </w:rPr>
        <w:t xml:space="preserve">Moving from model development to production deployment requires careful attention to operational concerns. This section describes the data architecture, scoring pipelines, and maintenance cycles necessary for sustained operation.</w:t>
      </w:r>
    </w:p>
    <w:p>
      <w:pPr>
        <w:pStyle w:val="Heading2"/>
      </w:pPr>
      <w:r>
        <w:t xml:space="preserve">7.1 Data Architecture</w:t>
      </w:r>
    </w:p>
    <w:p>
      <w:pPr>
        <w:spacing w:after="200" w:line="276"/>
      </w:pPr>
      <w:r>
        <w:rPr>
          <w:rFonts w:ascii="Times New Roman" w:cs="Times New Roman" w:eastAsia="Times New Roman" w:hAnsi="Times New Roman"/>
          <w:sz w:val="24"/>
          <w:szCs w:val="24"/>
        </w:rPr>
        <w:t xml:space="preserve">The operational system maintains several data artifacts:</w:t>
      </w:r>
    </w:p>
    <w:p>
      <w:pPr>
        <w:spacing w:after="200" w:line="276"/>
      </w:pPr>
      <w:r>
        <w:rPr>
          <w:rFonts w:ascii="Times New Roman" w:cs="Times New Roman" w:eastAsia="Times New Roman" w:hAnsi="Times New Roman"/>
          <w:b/>
          <w:bCs/>
          <w:sz w:val="24"/>
          <w:szCs w:val="24"/>
        </w:rPr>
        <w:t xml:space="preserve">Live Scoring Table: </w:t>
      </w:r>
      <w:r>
        <w:rPr>
          <w:rFonts w:ascii="Times New Roman" w:cs="Times New Roman" w:eastAsia="Times New Roman" w:hAnsi="Times New Roman"/>
          <w:sz w:val="24"/>
          <w:szCs w:val="24"/>
        </w:rPr>
        <w:t xml:space="preserve">A table containing the current model scores and bonus eligibility for every player. This table is the source of truth for operational decisions. It includes uplift score, LTV prediction, churn probability, priority rank, eligibility flag, recommended bonus amount, last scoring timestamp, and model version.</w:t>
      </w:r>
    </w:p>
    <w:p>
      <w:pPr>
        <w:spacing w:after="200" w:line="276"/>
      </w:pPr>
      <w:r>
        <w:rPr>
          <w:rFonts w:ascii="Times New Roman" w:cs="Times New Roman" w:eastAsia="Times New Roman" w:hAnsi="Times New Roman"/>
          <w:b/>
          <w:bCs/>
          <w:sz w:val="24"/>
          <w:szCs w:val="24"/>
        </w:rPr>
        <w:t xml:space="preserve">Bonus History Table: </w:t>
      </w:r>
      <w:r>
        <w:rPr>
          <w:rFonts w:ascii="Times New Roman" w:cs="Times New Roman" w:eastAsia="Times New Roman" w:hAnsi="Times New Roman"/>
          <w:sz w:val="24"/>
          <w:szCs w:val="24"/>
        </w:rPr>
        <w:t xml:space="preserve">A historical record of all bonuses delivered, including player identifier, bonus amount, delivery timestamp, redemption status, and outcome.</w:t>
      </w:r>
    </w:p>
    <w:p>
      <w:pPr>
        <w:spacing w:after="200" w:line="276"/>
      </w:pPr>
      <w:r>
        <w:rPr>
          <w:rFonts w:ascii="Times New Roman" w:cs="Times New Roman" w:eastAsia="Times New Roman" w:hAnsi="Times New Roman"/>
          <w:b/>
          <w:bCs/>
          <w:sz w:val="24"/>
          <w:szCs w:val="24"/>
        </w:rPr>
        <w:t xml:space="preserve">Score History Table: </w:t>
      </w:r>
      <w:r>
        <w:rPr>
          <w:rFonts w:ascii="Times New Roman" w:cs="Times New Roman" w:eastAsia="Times New Roman" w:hAnsi="Times New Roman"/>
          <w:sz w:val="24"/>
          <w:szCs w:val="24"/>
        </w:rPr>
        <w:t xml:space="preserve">A historical record of model scores for each player at each scoring run. This enables analysis of how player scores evolve over time and debugging of unexpected outcomes.</w:t>
      </w:r>
    </w:p>
    <w:p>
      <w:pPr>
        <w:pStyle w:val="Heading2"/>
      </w:pPr>
      <w:r>
        <w:t xml:space="preserve">7.2 Rescoring vs. Retraining</w:t>
      </w:r>
    </w:p>
    <w:p>
      <w:pPr>
        <w:spacing w:after="200" w:line="276"/>
      </w:pPr>
      <w:r>
        <w:rPr>
          <w:rFonts w:ascii="Times New Roman" w:cs="Times New Roman" w:eastAsia="Times New Roman" w:hAnsi="Times New Roman"/>
          <w:sz w:val="24"/>
          <w:szCs w:val="24"/>
        </w:rPr>
        <w:t xml:space="preserve">A critical distinction in operational machine learning is between rescoring and retraining. These are separate processes operating on different schedules (Sculley et al., 2015):</w:t>
      </w:r>
    </w:p>
    <w:p>
      <w:pPr>
        <w:spacing w:after="200" w:line="276"/>
      </w:pPr>
      <w:r>
        <w:rPr>
          <w:rFonts w:ascii="Times New Roman" w:cs="Times New Roman" w:eastAsia="Times New Roman" w:hAnsi="Times New Roman"/>
          <w:b/>
          <w:bCs/>
          <w:sz w:val="24"/>
          <w:szCs w:val="24"/>
        </w:rPr>
        <w:t xml:space="preserve">Rescoring </w:t>
      </w:r>
      <w:r>
        <w:rPr>
          <w:rFonts w:ascii="Times New Roman" w:cs="Times New Roman" w:eastAsia="Times New Roman" w:hAnsi="Times New Roman"/>
          <w:sz w:val="24"/>
          <w:szCs w:val="24"/>
        </w:rPr>
        <w:t xml:space="preserve">applies the existing model to updated player features. Because player behaviour changes continuously (new logins, purchases, periods of inactivity), the model inputs change even when the model itself remains constant. Rescoring typically occurs daily or weekly.</w:t>
      </w:r>
    </w:p>
    <w:p>
      <w:pPr>
        <w:spacing w:after="200" w:line="276"/>
      </w:pPr>
      <w:r>
        <w:rPr>
          <w:rFonts w:ascii="Times New Roman" w:cs="Times New Roman" w:eastAsia="Times New Roman" w:hAnsi="Times New Roman"/>
          <w:b/>
          <w:bCs/>
          <w:sz w:val="24"/>
          <w:szCs w:val="24"/>
        </w:rPr>
        <w:t xml:space="preserve">Retraining </w:t>
      </w:r>
      <w:r>
        <w:rPr>
          <w:rFonts w:ascii="Times New Roman" w:cs="Times New Roman" w:eastAsia="Times New Roman" w:hAnsi="Times New Roman"/>
          <w:sz w:val="24"/>
          <w:szCs w:val="24"/>
        </w:rPr>
        <w:t xml:space="preserve">creates new models using fresh experimental data. Over time, the relationship between player features and treatment effects may shift due to product changes, market dynamics, or player base evolution. Retraining typically occurs monthly or quarterly, or when performance monitoring indicates model degradation.</w:t>
      </w:r>
    </w:p>
    <w:p>
      <w:pPr>
        <w:spacing w:after="200" w:line="276"/>
      </w:pPr>
      <w:r>
        <w:rPr>
          <w:rFonts w:ascii="Times New Roman" w:cs="Times New Roman" w:eastAsia="Times New Roman" w:hAnsi="Times New Roman"/>
          <w:sz w:val="24"/>
          <w:szCs w:val="24"/>
        </w:rPr>
        <w:t xml:space="preserve">After every retraining cycle, a full rescore of the player base is required to apply the new model. Between retraining cycles, regular rescoring ensures that scores reflect current player state.</w:t>
      </w:r>
    </w:p>
    <w:p>
      <w:pPr>
        <w:spacing w:before="200" w:after="100"/>
        <w:jc w:val="center"/>
      </w:pPr>
      <w:r>
        <w:rPr>
          <w:b/>
          <w:bCs/>
          <w:sz w:val="22"/>
          <w:szCs w:val="22"/>
        </w:rPr>
        <w:t xml:space="preserve">Table 4: Rescoring vs. Retraining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2"/>
                <w:szCs w:val="22"/>
              </w:rPr>
              <w:t xml:space="preserve">Aspect</w:t>
            </w:r>
          </w:p>
        </w:tc>
        <w:tc>
          <w:tcPr>
            <w:tcW w:type="dxa" w:w="378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2"/>
                <w:szCs w:val="22"/>
              </w:rPr>
              <w:t xml:space="preserve">Rescoring</w:t>
            </w:r>
          </w:p>
        </w:tc>
        <w:tc>
          <w:tcPr>
            <w:tcW w:type="dxa" w:w="378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2"/>
                <w:szCs w:val="22"/>
              </w:rPr>
              <w:t xml:space="preserve">Retraining</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Frequency</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Daily or weekly</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Monthly or quarterly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What changes</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Player features (model unchanged)</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Model parameters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Trigger</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Scheduled (time-based)</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Performance drift or scheduled</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Purpose</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Reflect current player state</w:t>
            </w:r>
          </w:p>
        </w:tc>
        <w:tc>
          <w:tcPr>
            <w:tcW w:type="dxa" w:w="3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Capture evolved patterns</w:t>
            </w:r>
          </w:p>
        </w:tc>
      </w:tr>
    </w:tbl>
    <w:p>
      <w:pPr>
        <w:spacing w:after="200"/>
      </w:pPr>
    </w:p>
    <w:p>
      <w:pPr>
        <w:spacing w:after="200" w:line="276"/>
      </w:pPr>
      <w:r>
        <w:rPr>
          <w:rFonts w:ascii="Times New Roman" w:cs="Times New Roman" w:eastAsia="Times New Roman" w:hAnsi="Times New Roman"/>
          <w:sz w:val="24"/>
          <w:szCs w:val="24"/>
        </w:rPr>
        <w:t xml:space="preserve">Figure 2 illustrates how these two cycles operate in practice. The weekly rescoring cycle (left) maintains current player scores by pulling updated features and applying the existing model. The monthly retraining cycle (right) creates new models from accumulated holdout data, validates their performance, and deploys them only if they outperform the current champion model.</w:t>
      </w:r>
    </w:p>
    <w:p>
      <w:pPr>
        <w:spacing w:before="300" w:after="100"/>
        <w:jc w:val="center"/>
      </w:pPr>
      <w:r>
        <w:rPr>
          <w:rFonts w:ascii="Times New Roman" w:cs="Times New Roman" w:eastAsia="Times New Roman" w:hAnsi="Times New Roman"/>
          <w:b/>
          <w:bCs/>
          <w:sz w:val="22"/>
          <w:szCs w:val="22"/>
        </w:rPr>
        <w:t xml:space="preserve">Figure 2: Continuous Training Pipeline</w:t>
      </w:r>
    </w:p>
    <w:p>
      <w:pPr>
        <w:spacing w:after="200"/>
        <w:jc w:val="center"/>
      </w:pPr>
      <w:r>
        <w:drawing>
          <wp:inline distT="0" distB="0" distL="0" distR="0">
            <wp:extent cx="5238750" cy="4286250"/>
            <wp:effectExtent t="0" r="0" b="0" l="0"/>
            <wp:docPr id="1" name="pipeline-diagram" descr="A flowchart showing the weekly rescoring and monthly retraining cycles with monitoring triggers" title="Continuous Training Pipel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4286250"/>
                    </a:xfrm>
                    <a:prstGeom prst="rect">
                      <a:avLst/>
                    </a:prstGeom>
                  </pic:spPr>
                </pic:pic>
              </a:graphicData>
            </a:graphic>
          </wp:inline>
        </w:drawing>
      </w:r>
    </w:p>
    <w:p>
      <w:pPr>
        <w:spacing w:after="200" w:line="276"/>
      </w:pPr>
      <w:r>
        <w:rPr>
          <w:rFonts w:ascii="Times New Roman" w:cs="Times New Roman" w:eastAsia="Times New Roman" w:hAnsi="Times New Roman"/>
          <w:sz w:val="24"/>
          <w:szCs w:val="24"/>
        </w:rPr>
        <w:t xml:space="preserve">The monitoring layer (bottom) continuously tracks performance metrics, drift indicators, and data quality. When monitoring detects significant degradation or when scheduled retraining intervals arrive, the monthly cycle is triggered. This architecture ensures the system remains effective as player behaviour evolves while avoiding unnecessary model churn.</w:t>
      </w:r>
    </w:p>
    <w:p>
      <w:pPr>
        <w:pStyle w:val="Heading2"/>
      </w:pPr>
      <w:r>
        <w:t xml:space="preserve">7.3 Business Rules Layer</w:t>
      </w:r>
    </w:p>
    <w:p>
      <w:pPr>
        <w:spacing w:after="200" w:line="276"/>
      </w:pPr>
      <w:r>
        <w:rPr>
          <w:rFonts w:ascii="Times New Roman" w:cs="Times New Roman" w:eastAsia="Times New Roman" w:hAnsi="Times New Roman"/>
          <w:sz w:val="24"/>
          <w:szCs w:val="24"/>
        </w:rPr>
        <w:t xml:space="preserve">Model scores are inputs to, not determinants of, final bonus decisions. A business rules layer applies constraints and policies:</w:t>
      </w:r>
    </w:p>
    <w:p>
      <w:pPr>
        <w:spacing w:after="200" w:line="276"/>
      </w:pPr>
      <w:r>
        <w:rPr>
          <w:rFonts w:ascii="Times New Roman" w:cs="Times New Roman" w:eastAsia="Times New Roman" w:hAnsi="Times New Roman"/>
          <w:b/>
          <w:bCs/>
          <w:sz w:val="24"/>
          <w:szCs w:val="24"/>
        </w:rPr>
        <w:t xml:space="preserve">Cooldown Periods: </w:t>
      </w:r>
      <w:r>
        <w:rPr>
          <w:rFonts w:ascii="Times New Roman" w:cs="Times New Roman" w:eastAsia="Times New Roman" w:hAnsi="Times New Roman"/>
          <w:sz w:val="24"/>
          <w:szCs w:val="24"/>
        </w:rPr>
        <w:t xml:space="preserve">Players who recently received a bonus may be ineligible for a new one regardless of their current score.</w:t>
      </w:r>
    </w:p>
    <w:p>
      <w:pPr>
        <w:spacing w:after="200" w:line="276"/>
      </w:pPr>
      <w:r>
        <w:rPr>
          <w:rFonts w:ascii="Times New Roman" w:cs="Times New Roman" w:eastAsia="Times New Roman" w:hAnsi="Times New Roman"/>
          <w:b/>
          <w:bCs/>
          <w:sz w:val="24"/>
          <w:szCs w:val="24"/>
        </w:rPr>
        <w:t xml:space="preserve">Frequency Caps: </w:t>
      </w:r>
      <w:r>
        <w:rPr>
          <w:rFonts w:ascii="Times New Roman" w:cs="Times New Roman" w:eastAsia="Times New Roman" w:hAnsi="Times New Roman"/>
          <w:sz w:val="24"/>
          <w:szCs w:val="24"/>
        </w:rPr>
        <w:t xml:space="preserve">Maximum number of bonuses per player per time period to prevent bonus fatigue and cost overruns.</w:t>
      </w:r>
    </w:p>
    <w:p>
      <w:pPr>
        <w:spacing w:after="200" w:line="276"/>
      </w:pPr>
      <w:r>
        <w:rPr>
          <w:rFonts w:ascii="Times New Roman" w:cs="Times New Roman" w:eastAsia="Times New Roman" w:hAnsi="Times New Roman"/>
          <w:b/>
          <w:bCs/>
          <w:sz w:val="24"/>
          <w:szCs w:val="24"/>
        </w:rPr>
        <w:t xml:space="preserve">Budget Constraints: </w:t>
      </w:r>
      <w:r>
        <w:rPr>
          <w:rFonts w:ascii="Times New Roman" w:cs="Times New Roman" w:eastAsia="Times New Roman" w:hAnsi="Times New Roman"/>
          <w:sz w:val="24"/>
          <w:szCs w:val="24"/>
        </w:rPr>
        <w:t xml:space="preserve">Total bonus spend per period is capped, requiring prioritisation among eligible players.</w:t>
      </w:r>
    </w:p>
    <w:p>
      <w:pPr>
        <w:spacing w:after="200" w:line="276"/>
      </w:pPr>
      <w:r>
        <w:rPr>
          <w:rFonts w:ascii="Times New Roman" w:cs="Times New Roman" w:eastAsia="Times New Roman" w:hAnsi="Times New Roman"/>
          <w:b/>
          <w:bCs/>
          <w:sz w:val="24"/>
          <w:szCs w:val="24"/>
        </w:rPr>
        <w:t xml:space="preserve">Minimum Thresholds: </w:t>
      </w:r>
      <w:r>
        <w:rPr>
          <w:rFonts w:ascii="Times New Roman" w:cs="Times New Roman" w:eastAsia="Times New Roman" w:hAnsi="Times New Roman"/>
          <w:sz w:val="24"/>
          <w:szCs w:val="24"/>
        </w:rPr>
        <w:t xml:space="preserve">Players below a minimum uplift or LTV threshold may be excluded to ensure positive expected returns.</w:t>
      </w:r>
    </w:p>
    <w:p>
      <w:pPr>
        <w:spacing w:after="200" w:line="276"/>
      </w:pPr>
      <w:r>
        <w:rPr>
          <w:rFonts w:ascii="Times New Roman" w:cs="Times New Roman" w:eastAsia="Times New Roman" w:hAnsi="Times New Roman"/>
          <w:b/>
          <w:bCs/>
          <w:sz w:val="24"/>
          <w:szCs w:val="24"/>
        </w:rPr>
        <w:t xml:space="preserve">Maximum Bonus Amounts: </w:t>
      </w:r>
      <w:r>
        <w:rPr>
          <w:rFonts w:ascii="Times New Roman" w:cs="Times New Roman" w:eastAsia="Times New Roman" w:hAnsi="Times New Roman"/>
          <w:sz w:val="24"/>
          <w:szCs w:val="24"/>
        </w:rPr>
        <w:t xml:space="preserve">Per-player caps prevent outsized allocations to individual players.</w:t>
      </w:r>
    </w:p>
    <w:p>
      <w:pPr>
        <w:pStyle w:val="Heading2"/>
      </w:pPr>
      <w:r>
        <w:t xml:space="preserve">7.4 Continuous Learning</w:t>
      </w:r>
    </w:p>
    <w:p>
      <w:pPr>
        <w:spacing w:after="200" w:line="276"/>
      </w:pPr>
      <w:r>
        <w:rPr>
          <w:rFonts w:ascii="Times New Roman" w:cs="Times New Roman" w:eastAsia="Times New Roman" w:hAnsi="Times New Roman"/>
          <w:sz w:val="24"/>
          <w:szCs w:val="24"/>
        </w:rPr>
        <w:t xml:space="preserve">The system should never stop learning. Even in production, a holdout structure enables ongoing measurement and model improvement:</w:t>
      </w:r>
    </w:p>
    <w:p>
      <w:pPr>
        <w:spacing w:after="200" w:line="276"/>
      </w:pPr>
      <w:r>
        <w:rPr>
          <w:rFonts w:ascii="Times New Roman" w:cs="Times New Roman" w:eastAsia="Times New Roman" w:hAnsi="Times New Roman"/>
          <w:b/>
          <w:bCs/>
          <w:sz w:val="24"/>
          <w:szCs w:val="24"/>
        </w:rPr>
        <w:t xml:space="preserve">ML-Targeted Group (80%): </w:t>
      </w:r>
      <w:r>
        <w:rPr>
          <w:rFonts w:ascii="Times New Roman" w:cs="Times New Roman" w:eastAsia="Times New Roman" w:hAnsi="Times New Roman"/>
          <w:sz w:val="24"/>
          <w:szCs w:val="24"/>
        </w:rPr>
        <w:t xml:space="preserve">Receives bonuses based on model predictions. This is the operational deployment of the optimisation system.</w:t>
      </w:r>
    </w:p>
    <w:p>
      <w:pPr>
        <w:spacing w:after="200" w:line="276"/>
      </w:pPr>
      <w:r>
        <w:rPr>
          <w:rFonts w:ascii="Times New Roman" w:cs="Times New Roman" w:eastAsia="Times New Roman" w:hAnsi="Times New Roman"/>
          <w:b/>
          <w:bCs/>
          <w:sz w:val="24"/>
          <w:szCs w:val="24"/>
        </w:rPr>
        <w:t xml:space="preserve">Random Treatment Group (10%): </w:t>
      </w:r>
      <w:r>
        <w:rPr>
          <w:rFonts w:ascii="Times New Roman" w:cs="Times New Roman" w:eastAsia="Times New Roman" w:hAnsi="Times New Roman"/>
          <w:sz w:val="24"/>
          <w:szCs w:val="24"/>
        </w:rPr>
        <w:t xml:space="preserve">Receives bonuses assigned randomly. This group provides fresh experimental data for model retraining and enables detection of model degradation.</w:t>
      </w:r>
    </w:p>
    <w:p>
      <w:pPr>
        <w:spacing w:after="200" w:line="276"/>
      </w:pPr>
      <w:r>
        <w:rPr>
          <w:rFonts w:ascii="Times New Roman" w:cs="Times New Roman" w:eastAsia="Times New Roman" w:hAnsi="Times New Roman"/>
          <w:b/>
          <w:bCs/>
          <w:sz w:val="24"/>
          <w:szCs w:val="24"/>
        </w:rPr>
        <w:t xml:space="preserve">Pure Control Group (10%): </w:t>
      </w:r>
      <w:r>
        <w:rPr>
          <w:rFonts w:ascii="Times New Roman" w:cs="Times New Roman" w:eastAsia="Times New Roman" w:hAnsi="Times New Roman"/>
          <w:sz w:val="24"/>
          <w:szCs w:val="24"/>
        </w:rPr>
        <w:t xml:space="preserve">Receives no bonuses. This group provides the baseline for measuring incremental impact of both random and targeted bonuses.</w:t>
      </w:r>
    </w:p>
    <w:p>
      <w:pPr>
        <w:spacing w:after="200" w:line="276"/>
      </w:pPr>
      <w:r>
        <w:rPr>
          <w:rFonts w:ascii="Times New Roman" w:cs="Times New Roman" w:eastAsia="Times New Roman" w:hAnsi="Times New Roman"/>
          <w:sz w:val="24"/>
          <w:szCs w:val="24"/>
        </w:rPr>
        <w:t xml:space="preserve">This structure enables continuous measurement of whether ML targeting outperforms random assignment, provides data for retraining, and maintains an uncontaminated baseline for causal estimation (Kohavi, Tang and Xu, 2020).</w:t>
      </w:r>
    </w:p>
    <w:p>
      <w:r>
        <w:br w:type="page"/>
      </w:r>
    </w:p>
    <w:p>
      <w:pPr>
        <w:pStyle w:val="Heading1"/>
      </w:pPr>
      <w:r>
        <w:t xml:space="preserve">8. Worked Example</w:t>
      </w:r>
    </w:p>
    <w:p>
      <w:pPr>
        <w:spacing w:after="200" w:line="276"/>
      </w:pPr>
      <w:r>
        <w:rPr>
          <w:rFonts w:ascii="Times New Roman" w:cs="Times New Roman" w:eastAsia="Times New Roman" w:hAnsi="Times New Roman"/>
          <w:sz w:val="24"/>
          <w:szCs w:val="24"/>
        </w:rPr>
        <w:t xml:space="preserve">To illustrate how the framework operates in practice, consider a hypothetical player named Alice and trace her journey through the system over several weeks.</w:t>
      </w:r>
    </w:p>
    <w:p>
      <w:pPr>
        <w:pStyle w:val="Heading2"/>
      </w:pPr>
      <w:r>
        <w:t xml:space="preserve">8.1 Initial State</w:t>
      </w:r>
    </w:p>
    <w:p>
      <w:pPr>
        <w:spacing w:after="200" w:line="276"/>
      </w:pPr>
      <w:r>
        <w:rPr>
          <w:rFonts w:ascii="Times New Roman" w:cs="Times New Roman" w:eastAsia="Times New Roman" w:hAnsi="Times New Roman"/>
          <w:sz w:val="24"/>
          <w:szCs w:val="24"/>
        </w:rPr>
        <w:t xml:space="preserve">Alice is a regular player who logs in several times per week and makes occasional purchases. At the beginning of our observation period, her features include:</w:t>
      </w:r>
    </w:p>
    <w:p>
      <w:pPr>
        <w:spacing w:after="200" w:line="276"/>
      </w:pPr>
      <w:r>
        <w:rPr>
          <w:rFonts w:ascii="Times New Roman" w:cs="Times New Roman" w:eastAsia="Times New Roman" w:hAnsi="Times New Roman"/>
          <w:sz w:val="24"/>
          <w:szCs w:val="24"/>
        </w:rPr>
        <w:t xml:space="preserve">Account age: 8 months. Days since last login: 2. Average weekly spend: $45. Login frequency: 4.2 times per week. Historical bonus redemption rate: 60%.</w:t>
      </w:r>
    </w:p>
    <w:p>
      <w:pPr>
        <w:spacing w:after="200" w:line="276"/>
      </w:pPr>
      <w:r>
        <w:rPr>
          <w:rFonts w:ascii="Times New Roman" w:cs="Times New Roman" w:eastAsia="Times New Roman" w:hAnsi="Times New Roman"/>
          <w:sz w:val="24"/>
          <w:szCs w:val="24"/>
        </w:rPr>
        <w:t xml:space="preserve">Given these features, the models produce the following predictions:</w:t>
      </w:r>
    </w:p>
    <w:p>
      <w:pPr>
        <w:spacing w:after="200" w:line="276"/>
      </w:pPr>
      <w:r>
        <w:rPr>
          <w:rFonts w:ascii="Times New Roman" w:cs="Times New Roman" w:eastAsia="Times New Roman" w:hAnsi="Times New Roman"/>
          <w:b/>
          <w:bCs/>
          <w:sz w:val="24"/>
          <w:szCs w:val="24"/>
        </w:rPr>
        <w:t xml:space="preserve">LTV Model: </w:t>
      </w:r>
      <w:r>
        <w:rPr>
          <w:rFonts w:ascii="Times New Roman" w:cs="Times New Roman" w:eastAsia="Times New Roman" w:hAnsi="Times New Roman"/>
          <w:sz w:val="24"/>
          <w:szCs w:val="24"/>
        </w:rPr>
        <w:t xml:space="preserve">$850 expected value over the next 12 months.</w:t>
      </w:r>
    </w:p>
    <w:p>
      <w:pPr>
        <w:spacing w:after="200" w:line="276"/>
      </w:pPr>
      <w:r>
        <w:rPr>
          <w:rFonts w:ascii="Times New Roman" w:cs="Times New Roman" w:eastAsia="Times New Roman" w:hAnsi="Times New Roman"/>
          <w:b/>
          <w:bCs/>
          <w:sz w:val="24"/>
          <w:szCs w:val="24"/>
        </w:rPr>
        <w:t xml:space="preserve">Churn Model: </w:t>
      </w:r>
      <w:r>
        <w:rPr>
          <w:rFonts w:ascii="Times New Roman" w:cs="Times New Roman" w:eastAsia="Times New Roman" w:hAnsi="Times New Roman"/>
          <w:sz w:val="24"/>
          <w:szCs w:val="24"/>
        </w:rPr>
        <w:t xml:space="preserve">12% probability of churning in the next 30 days.</w:t>
      </w:r>
    </w:p>
    <w:p>
      <w:pPr>
        <w:spacing w:after="200" w:line="276"/>
      </w:pPr>
      <w:r>
        <w:rPr>
          <w:rFonts w:ascii="Times New Roman" w:cs="Times New Roman" w:eastAsia="Times New Roman" w:hAnsi="Times New Roman"/>
          <w:b/>
          <w:bCs/>
          <w:sz w:val="24"/>
          <w:szCs w:val="24"/>
        </w:rPr>
        <w:t xml:space="preserve">Uplift Model: </w:t>
      </w:r>
      <w:r>
        <w:rPr>
          <w:rFonts w:ascii="Times New Roman" w:cs="Times New Roman" w:eastAsia="Times New Roman" w:hAnsi="Times New Roman"/>
          <w:sz w:val="24"/>
          <w:szCs w:val="24"/>
        </w:rPr>
        <w:t xml:space="preserve">Treatment model predicts 88% engagement probability. Control model predicts 82% engagement probability. Uplift = 6%.</w:t>
      </w:r>
    </w:p>
    <w:p>
      <w:pPr>
        <w:spacing w:after="200" w:line="276"/>
      </w:pPr>
      <w:r>
        <w:rPr>
          <w:rFonts w:ascii="Times New Roman" w:cs="Times New Roman" w:eastAsia="Times New Roman" w:hAnsi="Times New Roman"/>
          <w:sz w:val="24"/>
          <w:szCs w:val="24"/>
        </w:rPr>
        <w:t xml:space="preserve">With an uplift of only 6%, Alice is classified as a Sure Thing. She will likely engage whether or not she receives a bonus. The recommendation is to skip bonus allocation for Alice this week.</w:t>
      </w:r>
    </w:p>
    <w:p>
      <w:pPr>
        <w:pStyle w:val="Heading2"/>
      </w:pPr>
      <w:r>
        <w:t xml:space="preserve">8.2 Week Two: Behaviour Shifts</w:t>
      </w:r>
    </w:p>
    <w:p>
      <w:pPr>
        <w:spacing w:after="200" w:line="276"/>
      </w:pPr>
      <w:r>
        <w:rPr>
          <w:rFonts w:ascii="Times New Roman" w:cs="Times New Roman" w:eastAsia="Times New Roman" w:hAnsi="Times New Roman"/>
          <w:sz w:val="24"/>
          <w:szCs w:val="24"/>
        </w:rPr>
        <w:t xml:space="preserve">One week later, Alice has not logged in for 9 days. Her updated features reflect this change:</w:t>
      </w:r>
    </w:p>
    <w:p>
      <w:pPr>
        <w:spacing w:after="200" w:line="276"/>
      </w:pPr>
      <w:r>
        <w:rPr>
          <w:rFonts w:ascii="Times New Roman" w:cs="Times New Roman" w:eastAsia="Times New Roman" w:hAnsi="Times New Roman"/>
          <w:sz w:val="24"/>
          <w:szCs w:val="24"/>
        </w:rPr>
        <w:t xml:space="preserve">Days since last login: 9. Recent weekly spend: $0. Login frequency (rolling): 2.1 times per week.</w:t>
      </w:r>
    </w:p>
    <w:p>
      <w:pPr>
        <w:spacing w:after="200" w:line="276"/>
      </w:pPr>
      <w:r>
        <w:rPr>
          <w:rFonts w:ascii="Times New Roman" w:cs="Times New Roman" w:eastAsia="Times New Roman" w:hAnsi="Times New Roman"/>
          <w:sz w:val="24"/>
          <w:szCs w:val="24"/>
        </w:rPr>
        <w:t xml:space="preserve">The models are re-applied to her updated features:</w:t>
      </w:r>
    </w:p>
    <w:p>
      <w:pPr>
        <w:spacing w:after="200" w:line="276"/>
      </w:pPr>
      <w:r>
        <w:rPr>
          <w:rFonts w:ascii="Times New Roman" w:cs="Times New Roman" w:eastAsia="Times New Roman" w:hAnsi="Times New Roman"/>
          <w:b/>
          <w:bCs/>
          <w:sz w:val="24"/>
          <w:szCs w:val="24"/>
        </w:rPr>
        <w:t xml:space="preserve">LTV Model: </w:t>
      </w:r>
      <w:r>
        <w:rPr>
          <w:rFonts w:ascii="Times New Roman" w:cs="Times New Roman" w:eastAsia="Times New Roman" w:hAnsi="Times New Roman"/>
          <w:sz w:val="24"/>
          <w:szCs w:val="24"/>
        </w:rPr>
        <w:t xml:space="preserve">$720 (slightly reduced due to inactivity signals).</w:t>
      </w:r>
    </w:p>
    <w:p>
      <w:pPr>
        <w:spacing w:after="200" w:line="276"/>
      </w:pPr>
      <w:r>
        <w:rPr>
          <w:rFonts w:ascii="Times New Roman" w:cs="Times New Roman" w:eastAsia="Times New Roman" w:hAnsi="Times New Roman"/>
          <w:b/>
          <w:bCs/>
          <w:sz w:val="24"/>
          <w:szCs w:val="24"/>
        </w:rPr>
        <w:t xml:space="preserve">Churn Model: </w:t>
      </w:r>
      <w:r>
        <w:rPr>
          <w:rFonts w:ascii="Times New Roman" w:cs="Times New Roman" w:eastAsia="Times New Roman" w:hAnsi="Times New Roman"/>
          <w:sz w:val="24"/>
          <w:szCs w:val="24"/>
        </w:rPr>
        <w:t xml:space="preserve">35% probability of churning.</w:t>
      </w:r>
    </w:p>
    <w:p>
      <w:pPr>
        <w:spacing w:after="200" w:line="276"/>
      </w:pPr>
      <w:r>
        <w:rPr>
          <w:rFonts w:ascii="Times New Roman" w:cs="Times New Roman" w:eastAsia="Times New Roman" w:hAnsi="Times New Roman"/>
          <w:b/>
          <w:bCs/>
          <w:sz w:val="24"/>
          <w:szCs w:val="24"/>
        </w:rPr>
        <w:t xml:space="preserve">Uplift Model: </w:t>
      </w:r>
      <w:r>
        <w:rPr>
          <w:rFonts w:ascii="Times New Roman" w:cs="Times New Roman" w:eastAsia="Times New Roman" w:hAnsi="Times New Roman"/>
          <w:sz w:val="24"/>
          <w:szCs w:val="24"/>
        </w:rPr>
        <w:t xml:space="preserve">Treatment model predicts 71% engagement probability. Control model predicts 38% engagement probability. Uplift = 33%.</w:t>
      </w:r>
    </w:p>
    <w:p>
      <w:pPr>
        <w:spacing w:after="200" w:line="276"/>
      </w:pPr>
      <w:r>
        <w:rPr>
          <w:rFonts w:ascii="Times New Roman" w:cs="Times New Roman" w:eastAsia="Times New Roman" w:hAnsi="Times New Roman"/>
          <w:sz w:val="24"/>
          <w:szCs w:val="24"/>
        </w:rPr>
        <w:t xml:space="preserve">Alice has transitioned from a Sure Thing to a Persuadable. Her uplift score has increased dramatically because she is now in a state where a bonus could make the difference between returning and churning. The system recommends a $15 bonus.</w:t>
      </w:r>
    </w:p>
    <w:p>
      <w:pPr>
        <w:pStyle w:val="Heading2"/>
      </w:pPr>
      <w:r>
        <w:t xml:space="preserve">8.3 Week Three: Successful Intervention</w:t>
      </w:r>
    </w:p>
    <w:p>
      <w:pPr>
        <w:spacing w:after="200" w:line="276"/>
      </w:pPr>
      <w:r>
        <w:rPr>
          <w:rFonts w:ascii="Times New Roman" w:cs="Times New Roman" w:eastAsia="Times New Roman" w:hAnsi="Times New Roman"/>
          <w:sz w:val="24"/>
          <w:szCs w:val="24"/>
        </w:rPr>
        <w:t xml:space="preserve">Alice receives the bonus, redeems it, and returns to active play. Her features update:</w:t>
      </w:r>
    </w:p>
    <w:p>
      <w:pPr>
        <w:spacing w:after="200" w:line="276"/>
      </w:pPr>
      <w:r>
        <w:rPr>
          <w:rFonts w:ascii="Times New Roman" w:cs="Times New Roman" w:eastAsia="Times New Roman" w:hAnsi="Times New Roman"/>
          <w:sz w:val="24"/>
          <w:szCs w:val="24"/>
        </w:rPr>
        <w:t xml:space="preserve">Days since last login: 4. Recent weekly spend: $62. Login frequency: 3.8 times per week.</w:t>
      </w:r>
    </w:p>
    <w:p>
      <w:pPr>
        <w:spacing w:after="200" w:line="276"/>
      </w:pPr>
      <w:r>
        <w:rPr>
          <w:rFonts w:ascii="Times New Roman" w:cs="Times New Roman" w:eastAsia="Times New Roman" w:hAnsi="Times New Roman"/>
          <w:sz w:val="24"/>
          <w:szCs w:val="24"/>
        </w:rPr>
        <w:t xml:space="preserve">Updated model predictions:</w:t>
      </w:r>
    </w:p>
    <w:p>
      <w:pPr>
        <w:spacing w:after="200" w:line="276"/>
      </w:pPr>
      <w:r>
        <w:rPr>
          <w:rFonts w:ascii="Times New Roman" w:cs="Times New Roman" w:eastAsia="Times New Roman" w:hAnsi="Times New Roman"/>
          <w:b/>
          <w:bCs/>
          <w:sz w:val="24"/>
          <w:szCs w:val="24"/>
        </w:rPr>
        <w:t xml:space="preserve">Uplift Model: </w:t>
      </w:r>
      <w:r>
        <w:rPr>
          <w:rFonts w:ascii="Times New Roman" w:cs="Times New Roman" w:eastAsia="Times New Roman" w:hAnsi="Times New Roman"/>
          <w:sz w:val="24"/>
          <w:szCs w:val="24"/>
        </w:rPr>
        <w:t xml:space="preserve">Treatment model predicts 84% engagement. Control model predicts 79% engagement. Uplift = 5%.</w:t>
      </w:r>
    </w:p>
    <w:p>
      <w:pPr>
        <w:spacing w:after="200" w:line="276"/>
      </w:pPr>
      <w:r>
        <w:rPr>
          <w:rFonts w:ascii="Times New Roman" w:cs="Times New Roman" w:eastAsia="Times New Roman" w:hAnsi="Times New Roman"/>
          <w:sz w:val="24"/>
          <w:szCs w:val="24"/>
        </w:rPr>
        <w:t xml:space="preserve">Alice has returned to Sure Thing status. The intervention worked, and she no longer needs a bonus to remain engaged. The system recommends skipping bonus allocation.</w:t>
      </w:r>
    </w:p>
    <w:p>
      <w:pPr>
        <w:spacing w:before="200" w:after="100"/>
        <w:jc w:val="center"/>
      </w:pPr>
      <w:r>
        <w:rPr>
          <w:b/>
          <w:bCs/>
          <w:sz w:val="22"/>
          <w:szCs w:val="22"/>
        </w:rPr>
        <w:t xml:space="preserve">Table 5: Alice's Evolution Over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1400"/>
        <w:gridCol w:w="1800"/>
        <w:gridCol w:w="1760"/>
      </w:tblGrid>
      <w:tr>
        <w:tc>
          <w:tcPr>
            <w:tcW w:type="dxa" w:w="14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2"/>
                <w:szCs w:val="22"/>
              </w:rPr>
              <w:t xml:space="preserve">Week</w:t>
            </w:r>
          </w:p>
        </w:tc>
        <w:tc>
          <w:tcPr>
            <w:tcW w:type="dxa" w:w="16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2"/>
                <w:szCs w:val="22"/>
              </w:rPr>
              <w:t xml:space="preserve">Days Inactive</w:t>
            </w:r>
          </w:p>
        </w:tc>
        <w:tc>
          <w:tcPr>
            <w:tcW w:type="dxa" w:w="14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2"/>
                <w:szCs w:val="22"/>
              </w:rPr>
              <w:t xml:space="preserve">Uplift</w:t>
            </w:r>
          </w:p>
        </w:tc>
        <w:tc>
          <w:tcPr>
            <w:tcW w:type="dxa" w:w="14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2"/>
                <w:szCs w:val="22"/>
              </w:rPr>
              <w:t xml:space="preserve">Eligible</w:t>
            </w:r>
          </w:p>
        </w:tc>
        <w:tc>
          <w:tcPr>
            <w:tcW w:type="dxa" w:w="18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2"/>
                <w:szCs w:val="22"/>
              </w:rPr>
              <w:t xml:space="preserve">Bonus</w:t>
            </w:r>
          </w:p>
        </w:tc>
        <w:tc>
          <w:tcPr>
            <w:tcW w:type="dxa" w:w="176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2"/>
                <w:szCs w:val="22"/>
              </w:rPr>
              <w:t xml:space="preserve">Segment</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1</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2</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6%</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No</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$0</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Sure Thing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2</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9</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33%</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Yes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$15</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Persuadable</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3</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4</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5%</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No</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$0</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Sure Thing</w:t>
            </w:r>
          </w:p>
        </w:tc>
      </w:tr>
    </w:tbl>
    <w:p>
      <w:pPr>
        <w:spacing w:after="200"/>
      </w:pPr>
    </w:p>
    <w:p>
      <w:pPr>
        <w:spacing w:after="200" w:line="276"/>
      </w:pPr>
      <w:r>
        <w:rPr>
          <w:rFonts w:ascii="Times New Roman" w:cs="Times New Roman" w:eastAsia="Times New Roman" w:hAnsi="Times New Roman"/>
          <w:sz w:val="24"/>
          <w:szCs w:val="24"/>
        </w:rPr>
        <w:t xml:space="preserve">This example illustrates the dynamic nature of uplift scores. The same player can transition between segments as their behaviour changes. The system's value lies in identifying these transition moments and intervening precisely when intervention will make a difference.</w:t>
      </w:r>
    </w:p>
    <w:p>
      <w:r>
        <w:br w:type="page"/>
      </w:r>
    </w:p>
    <w:p>
      <w:pPr>
        <w:pStyle w:val="Heading1"/>
      </w:pPr>
      <w:r>
        <w:t xml:space="preserve">9. Model Validation and Performance Measurement</w:t>
      </w:r>
    </w:p>
    <w:p>
      <w:pPr>
        <w:spacing w:after="200" w:line="276"/>
      </w:pPr>
      <w:r>
        <w:rPr>
          <w:rFonts w:ascii="Times New Roman" w:cs="Times New Roman" w:eastAsia="Times New Roman" w:hAnsi="Times New Roman"/>
          <w:sz w:val="24"/>
          <w:szCs w:val="24"/>
        </w:rPr>
        <w:t xml:space="preserve">Validating uplift models presents unique challenges. Unlike traditional classification or regression, we cannot directly observe the quantity being predicted (the individual treatment effect). Validation must instead rely on aggregate measures and calibration checks (Gutierrez and Gérardy, 2017).</w:t>
      </w:r>
    </w:p>
    <w:p>
      <w:pPr>
        <w:pStyle w:val="Heading2"/>
      </w:pPr>
      <w:r>
        <w:t xml:space="preserve">9.1 Uplift Calibration</w:t>
      </w:r>
    </w:p>
    <w:p>
      <w:pPr>
        <w:spacing w:after="200" w:line="276"/>
      </w:pPr>
      <w:r>
        <w:rPr>
          <w:rFonts w:ascii="Times New Roman" w:cs="Times New Roman" w:eastAsia="Times New Roman" w:hAnsi="Times New Roman"/>
          <w:sz w:val="24"/>
          <w:szCs w:val="24"/>
        </w:rPr>
        <w:t xml:space="preserve">The primary validation approach is to check whether predicted uplift ranks correlate with observed treatment effects. For each decile d, the observed uplift is computed as:</w:t>
      </w:r>
    </w:p>
    <w:p>
      <w:pPr>
        <w:spacing w:before="200" w:after="200"/>
        <w:jc w:val="center"/>
      </w:pPr>
      <w:r>
        <w:rPr>
          <w:i/>
          <w:iCs/>
          <w:sz w:val="24"/>
          <w:szCs w:val="24"/>
        </w:rPr>
        <w:t xml:space="preserve">Observed_Uplift(d) = Ȳ̄(T=1, d) - Ȳ̄(T=0, d)</w:t>
      </w:r>
    </w:p>
    <w:p>
      <w:pPr>
        <w:spacing w:after="200" w:line="276"/>
      </w:pPr>
      <w:r>
        <w:rPr>
          <w:rFonts w:ascii="Times New Roman" w:cs="Times New Roman" w:eastAsia="Times New Roman" w:hAnsi="Times New Roman"/>
          <w:sz w:val="24"/>
          <w:szCs w:val="24"/>
        </w:rPr>
        <w:t xml:space="preserve">Where Ȳ̄(T=1, d) is the mean outcome for treated players in decile d, and Ȳ̄(T=0, d) is the mean outcome for control players in decile d. The validation procedure is:</w:t>
      </w:r>
    </w:p>
    <w:p>
      <w:pPr>
        <w:spacing w:after="200" w:line="276"/>
      </w:pPr>
      <w:r>
        <w:rPr>
          <w:rFonts w:ascii="Times New Roman" w:cs="Times New Roman" w:eastAsia="Times New Roman" w:hAnsi="Times New Roman"/>
          <w:sz w:val="24"/>
          <w:szCs w:val="24"/>
        </w:rPr>
        <w:t xml:space="preserve">First, score all players in a held-out test set using the trained model. Second, rank players by predicted uplift and divide into deciles. Third, within each decile, compute the actual treatment effect as the difference in outcome rates between treatment and control subgroups. Fourth, verify that higher-predicted deciles show higher actual treatment effects.</w:t>
      </w:r>
    </w:p>
    <w:p>
      <w:pPr>
        <w:spacing w:after="200" w:line="276"/>
      </w:pPr>
      <w:r>
        <w:rPr>
          <w:rFonts w:ascii="Times New Roman" w:cs="Times New Roman" w:eastAsia="Times New Roman" w:hAnsi="Times New Roman"/>
          <w:sz w:val="24"/>
          <w:szCs w:val="24"/>
        </w:rPr>
        <w:t xml:space="preserve">A well-calibrated model should show a monotonic (or nearly monotonic) relationship between predicted and actual uplift. If the top predicted decile shows a 40% actual lift while the bottom decile shows only 3% actual lift, the model is successfully identifying heterogeneous treatment effects.</w:t>
      </w:r>
    </w:p>
    <w:p>
      <w:pPr>
        <w:pStyle w:val="Heading2"/>
      </w:pPr>
      <w:r>
        <w:t xml:space="preserve">9.2 Cumulative Gain Curves</w:t>
      </w:r>
    </w:p>
    <w:p>
      <w:pPr>
        <w:spacing w:after="200" w:line="276"/>
      </w:pPr>
      <w:r>
        <w:rPr>
          <w:rFonts w:ascii="Times New Roman" w:cs="Times New Roman" w:eastAsia="Times New Roman" w:hAnsi="Times New Roman"/>
          <w:sz w:val="24"/>
          <w:szCs w:val="24"/>
        </w:rPr>
        <w:t xml:space="preserve">A cumulative gain curve (or uplift curve) provides a visual summary of model quality (Rzepakowski and Jaroszewicz, 2012). The x-axis represents the proportion of the population targeted, ranked by predicted uplift. The y-axis represents the cumulative lift captured. A perfect model would concentrate all the lift in the top-ranked segment. A random model would show a diagonal line. A good uplift model curves above the diagonal, with steeper curves indicating better performance.</w:t>
      </w:r>
    </w:p>
    <w:p>
      <w:pPr>
        <w:spacing w:after="200" w:line="276"/>
      </w:pPr>
      <w:r>
        <w:rPr>
          <w:rFonts w:ascii="Times New Roman" w:cs="Times New Roman" w:eastAsia="Times New Roman" w:hAnsi="Times New Roman"/>
          <w:sz w:val="24"/>
          <w:szCs w:val="24"/>
        </w:rPr>
        <w:t xml:space="preserve">The cumulative gain at proportion p is calculated as:</w:t>
      </w:r>
    </w:p>
    <w:p>
      <w:pPr>
        <w:spacing w:before="200" w:after="200"/>
        <w:jc w:val="center"/>
      </w:pPr>
      <w:r>
        <w:rPr>
          <w:i/>
          <w:iCs/>
          <w:sz w:val="24"/>
          <w:szCs w:val="24"/>
        </w:rPr>
        <w:t xml:space="preserve">Cumulative_Gain(p) = N × p × [Ȳ̄(T=1, top p) - Ȳ̄(T=0, top p)]</w:t>
      </w:r>
    </w:p>
    <w:p>
      <w:pPr>
        <w:spacing w:after="200" w:line="276"/>
      </w:pPr>
      <w:r>
        <w:rPr>
          <w:rFonts w:ascii="Times New Roman" w:cs="Times New Roman" w:eastAsia="Times New Roman" w:hAnsi="Times New Roman"/>
          <w:sz w:val="24"/>
          <w:szCs w:val="24"/>
        </w:rPr>
        <w:t xml:space="preserve">Where N is the total population size, and 'top p' refers to the top p proportion of players ranked by predicted uplift. Table 5 illustrates an example cumulative gain analysis from a hypothetical uplift model evaluation.</w:t>
      </w:r>
    </w:p>
    <w:p>
      <w:pPr>
        <w:spacing w:before="200" w:after="100"/>
        <w:jc w:val="center"/>
      </w:pPr>
      <w:r>
        <w:rPr>
          <w:b/>
          <w:bCs/>
          <w:sz w:val="22"/>
          <w:szCs w:val="22"/>
        </w:rPr>
        <w:t xml:space="preserve">Table 6: Example Cumulative Gain Curve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800"/>
        <w:gridCol w:w="1800"/>
        <w:gridCol w:w="1960"/>
      </w:tblGrid>
      <w:tr>
        <w:tc>
          <w:tcPr>
            <w:tcW w:type="dxa" w:w="1600"/>
            <w:tcBorders>
              <w:top w:val="single" w:color="999999" w:sz="1"/>
              <w:left w:val="single" w:color="999999" w:sz="1"/>
              <w:bottom w:val="single" w:color="999999" w:sz="1"/>
              <w:right w:val="single" w:color="999999" w:sz="1"/>
            </w:tcBorders>
            <w:shd w:fill="E8E8E8" w:val="clear"/>
            <w:tcMar>
              <w:top w:type="dxa" w:w="80"/>
              <w:left w:type="dxa" w:w="80"/>
              <w:bottom w:type="dxa" w:w="80"/>
              <w:right w:type="dxa" w:w="80"/>
            </w:tcMar>
          </w:tcPr>
          <w:p>
            <w:r>
              <w:rPr>
                <w:b/>
                <w:bCs/>
                <w:sz w:val="20"/>
                <w:szCs w:val="20"/>
              </w:rPr>
              <w:t xml:space="preserve">Decile</w:t>
            </w:r>
          </w:p>
        </w:tc>
        <w:tc>
          <w:tcPr>
            <w:tcW w:type="dxa" w:w="1600"/>
            <w:tcBorders>
              <w:top w:val="single" w:color="999999" w:sz="1"/>
              <w:left w:val="single" w:color="999999" w:sz="1"/>
              <w:bottom w:val="single" w:color="999999" w:sz="1"/>
              <w:right w:val="single" w:color="999999" w:sz="1"/>
            </w:tcBorders>
            <w:shd w:fill="E8E8E8" w:val="clear"/>
            <w:tcMar>
              <w:top w:type="dxa" w:w="80"/>
              <w:left w:type="dxa" w:w="80"/>
              <w:bottom w:type="dxa" w:w="80"/>
              <w:right w:type="dxa" w:w="80"/>
            </w:tcMar>
          </w:tcPr>
          <w:p>
            <w:r>
              <w:rPr>
                <w:b/>
                <w:bCs/>
                <w:sz w:val="20"/>
                <w:szCs w:val="20"/>
              </w:rPr>
              <w:t xml:space="preserve">% Pop.</w:t>
            </w:r>
          </w:p>
        </w:tc>
        <w:tc>
          <w:tcPr>
            <w:tcW w:type="dxa" w:w="1600"/>
            <w:tcBorders>
              <w:top w:val="single" w:color="999999" w:sz="1"/>
              <w:left w:val="single" w:color="999999" w:sz="1"/>
              <w:bottom w:val="single" w:color="999999" w:sz="1"/>
              <w:right w:val="single" w:color="999999" w:sz="1"/>
            </w:tcBorders>
            <w:shd w:fill="E8E8E8" w:val="clear"/>
            <w:tcMar>
              <w:top w:type="dxa" w:w="80"/>
              <w:left w:type="dxa" w:w="80"/>
              <w:bottom w:type="dxa" w:w="80"/>
              <w:right w:type="dxa" w:w="80"/>
            </w:tcMar>
          </w:tcPr>
          <w:p>
            <w:r>
              <w:rPr>
                <w:b/>
                <w:bCs/>
                <w:sz w:val="20"/>
                <w:szCs w:val="20"/>
              </w:rPr>
              <w:t xml:space="preserve">Obs. Uplift</w:t>
            </w:r>
          </w:p>
        </w:tc>
        <w:tc>
          <w:tcPr>
            <w:tcW w:type="dxa" w:w="1800"/>
            <w:tcBorders>
              <w:top w:val="single" w:color="999999" w:sz="1"/>
              <w:left w:val="single" w:color="999999" w:sz="1"/>
              <w:bottom w:val="single" w:color="999999" w:sz="1"/>
              <w:right w:val="single" w:color="999999" w:sz="1"/>
            </w:tcBorders>
            <w:shd w:fill="E8E8E8" w:val="clear"/>
            <w:tcMar>
              <w:top w:type="dxa" w:w="80"/>
              <w:left w:type="dxa" w:w="80"/>
              <w:bottom w:type="dxa" w:w="80"/>
              <w:right w:type="dxa" w:w="80"/>
            </w:tcMar>
          </w:tcPr>
          <w:p>
            <w:r>
              <w:rPr>
                <w:b/>
                <w:bCs/>
                <w:sz w:val="20"/>
                <w:szCs w:val="20"/>
              </w:rPr>
              <w:t xml:space="preserve">Cum. Gain (Model)</w:t>
            </w:r>
          </w:p>
        </w:tc>
        <w:tc>
          <w:tcPr>
            <w:tcW w:type="dxa" w:w="1800"/>
            <w:tcBorders>
              <w:top w:val="single" w:color="999999" w:sz="1"/>
              <w:left w:val="single" w:color="999999" w:sz="1"/>
              <w:bottom w:val="single" w:color="999999" w:sz="1"/>
              <w:right w:val="single" w:color="999999" w:sz="1"/>
            </w:tcBorders>
            <w:shd w:fill="E8E8E8" w:val="clear"/>
            <w:tcMar>
              <w:top w:type="dxa" w:w="80"/>
              <w:left w:type="dxa" w:w="80"/>
              <w:bottom w:type="dxa" w:w="80"/>
              <w:right w:type="dxa" w:w="80"/>
            </w:tcMar>
          </w:tcPr>
          <w:p>
            <w:r>
              <w:rPr>
                <w:b/>
                <w:bCs/>
                <w:sz w:val="20"/>
                <w:szCs w:val="20"/>
              </w:rPr>
              <w:t xml:space="preserve">Cum. Gain (Random)</w:t>
            </w:r>
          </w:p>
        </w:tc>
        <w:tc>
          <w:tcPr>
            <w:tcW w:type="dxa" w:w="1960"/>
            <w:tcBorders>
              <w:top w:val="single" w:color="999999" w:sz="1"/>
              <w:left w:val="single" w:color="999999" w:sz="1"/>
              <w:bottom w:val="single" w:color="999999" w:sz="1"/>
              <w:right w:val="single" w:color="999999" w:sz="1"/>
            </w:tcBorders>
            <w:shd w:fill="E8E8E8" w:val="clear"/>
            <w:tcMar>
              <w:top w:type="dxa" w:w="80"/>
              <w:left w:type="dxa" w:w="80"/>
              <w:bottom w:type="dxa" w:w="80"/>
              <w:right w:type="dxa" w:w="80"/>
            </w:tcMar>
          </w:tcPr>
          <w:p>
            <w:r>
              <w:rPr>
                <w:b/>
                <w:bCs/>
                <w:sz w:val="20"/>
                <w:szCs w:val="20"/>
              </w:rPr>
              <w:t xml:space="preserve">Lift vs Random</w:t>
            </w:r>
          </w:p>
        </w:tc>
      </w:tr>
      <w:tr>
        <w:tc>
          <w:tcPr>
            <w:tcW w:type="dxa" w:w="160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1 (Top)</w:t>
            </w:r>
          </w:p>
        </w:tc>
        <w:tc>
          <w:tcPr>
            <w:tcW w:type="dxa" w:w="160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10%</w:t>
            </w:r>
          </w:p>
        </w:tc>
        <w:tc>
          <w:tcPr>
            <w:tcW w:type="dxa" w:w="160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+32%</w:t>
            </w:r>
          </w:p>
        </w:tc>
        <w:tc>
          <w:tcPr>
            <w:tcW w:type="dxa" w:w="180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320</w:t>
            </w:r>
          </w:p>
        </w:tc>
        <w:tc>
          <w:tcPr>
            <w:tcW w:type="dxa" w:w="180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62</w:t>
            </w:r>
          </w:p>
        </w:tc>
        <w:tc>
          <w:tcPr>
            <w:tcW w:type="dxa" w:w="196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+416%</w:t>
            </w:r>
          </w:p>
        </w:tc>
      </w:tr>
      <w:tr>
        <w:tc>
          <w:tcPr>
            <w:tcW w:type="dxa" w:w="160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2</w:t>
            </w:r>
          </w:p>
        </w:tc>
        <w:tc>
          <w:tcPr>
            <w:tcW w:type="dxa" w:w="160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20%</w:t>
            </w:r>
          </w:p>
        </w:tc>
        <w:tc>
          <w:tcPr>
            <w:tcW w:type="dxa" w:w="160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+24%</w:t>
            </w:r>
          </w:p>
        </w:tc>
        <w:tc>
          <w:tcPr>
            <w:tcW w:type="dxa" w:w="180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560</w:t>
            </w:r>
          </w:p>
        </w:tc>
        <w:tc>
          <w:tcPr>
            <w:tcW w:type="dxa" w:w="180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124</w:t>
            </w:r>
          </w:p>
        </w:tc>
        <w:tc>
          <w:tcPr>
            <w:tcW w:type="dxa" w:w="196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+352%</w:t>
            </w:r>
          </w:p>
        </w:tc>
      </w:tr>
      <w:tr>
        <w:tc>
          <w:tcPr>
            <w:tcW w:type="dxa" w:w="160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3</w:t>
            </w:r>
          </w:p>
        </w:tc>
        <w:tc>
          <w:tcPr>
            <w:tcW w:type="dxa" w:w="160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30%</w:t>
            </w:r>
          </w:p>
        </w:tc>
        <w:tc>
          <w:tcPr>
            <w:tcW w:type="dxa" w:w="160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+12%</w:t>
            </w:r>
          </w:p>
        </w:tc>
        <w:tc>
          <w:tcPr>
            <w:tcW w:type="dxa" w:w="180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680</w:t>
            </w:r>
          </w:p>
        </w:tc>
        <w:tc>
          <w:tcPr>
            <w:tcW w:type="dxa" w:w="180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186</w:t>
            </w:r>
          </w:p>
        </w:tc>
        <w:tc>
          <w:tcPr>
            <w:tcW w:type="dxa" w:w="196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+266%</w:t>
            </w:r>
          </w:p>
        </w:tc>
      </w:tr>
      <w:tr>
        <w:tc>
          <w:tcPr>
            <w:tcW w:type="dxa" w:w="160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4-7</w:t>
            </w:r>
          </w:p>
        </w:tc>
        <w:tc>
          <w:tcPr>
            <w:tcW w:type="dxa" w:w="160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40-70%</w:t>
            </w:r>
          </w:p>
        </w:tc>
        <w:tc>
          <w:tcPr>
            <w:tcW w:type="dxa" w:w="160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+3% to +5%</w:t>
            </w:r>
          </w:p>
        </w:tc>
        <w:tc>
          <w:tcPr>
            <w:tcW w:type="dxa" w:w="180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w:t>
            </w:r>
          </w:p>
        </w:tc>
        <w:tc>
          <w:tcPr>
            <w:tcW w:type="dxa" w:w="180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w:t>
            </w:r>
          </w:p>
        </w:tc>
        <w:tc>
          <w:tcPr>
            <w:tcW w:type="dxa" w:w="196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w:t>
            </w:r>
          </w:p>
        </w:tc>
      </w:tr>
      <w:tr>
        <w:tc>
          <w:tcPr>
            <w:tcW w:type="dxa" w:w="160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10 (Bottom)</w:t>
            </w:r>
          </w:p>
        </w:tc>
        <w:tc>
          <w:tcPr>
            <w:tcW w:type="dxa" w:w="160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100%</w:t>
            </w:r>
          </w:p>
        </w:tc>
        <w:tc>
          <w:tcPr>
            <w:tcW w:type="dxa" w:w="160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-12%</w:t>
            </w:r>
          </w:p>
        </w:tc>
        <w:tc>
          <w:tcPr>
            <w:tcW w:type="dxa" w:w="180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620</w:t>
            </w:r>
          </w:p>
        </w:tc>
        <w:tc>
          <w:tcPr>
            <w:tcW w:type="dxa" w:w="180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620</w:t>
            </w:r>
          </w:p>
        </w:tc>
        <w:tc>
          <w:tcPr>
            <w:tcW w:type="dxa" w:w="196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0%</w:t>
            </w:r>
          </w:p>
        </w:tc>
      </w:tr>
    </w:tbl>
    <w:p>
      <w:pPr>
        <w:spacing w:before="100" w:after="200"/>
        <w:jc w:val="center"/>
      </w:pPr>
      <w:r>
        <w:rPr>
          <w:i/>
          <w:iCs/>
          <w:sz w:val="20"/>
          <w:szCs w:val="20"/>
        </w:rPr>
        <w:t xml:space="preserve">Note: Hypothetical example with N=10,000 players, overall ATE=6.2%. Bottom decile shows negative uplift (Sleeping Dogs).</w:t>
      </w:r>
    </w:p>
    <w:p>
      <w:pPr>
        <w:spacing w:after="200" w:line="276"/>
      </w:pPr>
      <w:r>
        <w:rPr>
          <w:rFonts w:ascii="Times New Roman" w:cs="Times New Roman" w:eastAsia="Times New Roman" w:hAnsi="Times New Roman"/>
          <w:sz w:val="24"/>
          <w:szCs w:val="24"/>
        </w:rPr>
        <w:t xml:space="preserve">In this example, targeting only the top 10% captures 320 incremental conversions versus 62 expected from random targeting—a 416% improvement. The negative uplift in the bottom decile (-12%) indicates the model has successfully identified Sleeping Dogs who should be excluded from treatment.</w:t>
      </w:r>
    </w:p>
    <w:p>
      <w:pPr>
        <w:spacing w:after="200" w:line="276"/>
      </w:pPr>
      <w:r>
        <w:rPr>
          <w:rFonts w:ascii="Times New Roman" w:cs="Times New Roman" w:eastAsia="Times New Roman" w:hAnsi="Times New Roman"/>
          <w:sz w:val="24"/>
          <w:szCs w:val="24"/>
        </w:rPr>
        <w:t xml:space="preserve">The Area Under the Uplift Curve (AUUC) provides a single metric summarising model quality, analogous to AUC in classification. It is calculated as:</w:t>
      </w:r>
    </w:p>
    <w:p>
      <w:pPr>
        <w:spacing w:before="200" w:after="200"/>
        <w:jc w:val="center"/>
      </w:pPr>
      <w:r>
        <w:rPr>
          <w:i/>
          <w:iCs/>
          <w:sz w:val="24"/>
          <w:szCs w:val="24"/>
        </w:rPr>
        <w:t xml:space="preserve">AUUC = ∑(k=1 to K) [Cumulative_Gain(k/K) - Cumulative_Gain_Random(k/K)] / K</w:t>
      </w:r>
    </w:p>
    <w:p>
      <w:pPr>
        <w:spacing w:after="200" w:line="276"/>
      </w:pPr>
      <w:r>
        <w:rPr>
          <w:rFonts w:ascii="Times New Roman" w:cs="Times New Roman" w:eastAsia="Times New Roman" w:hAnsi="Times New Roman"/>
          <w:sz w:val="24"/>
          <w:szCs w:val="24"/>
        </w:rPr>
        <w:t xml:space="preserve">Higher AUUC indicates better ability to identify and prioritise persuadable players. An AUUC of zero indicates performance equivalent to random targeting (Devriendt et al., 2018).</w:t>
      </w:r>
    </w:p>
    <w:p>
      <w:pPr>
        <w:pStyle w:val="Heading2"/>
      </w:pPr>
      <w:r>
        <w:t xml:space="preserve">9.3 Production Monitoring</w:t>
      </w:r>
    </w:p>
    <w:p>
      <w:pPr>
        <w:spacing w:after="200" w:line="276"/>
      </w:pPr>
      <w:r>
        <w:rPr>
          <w:rFonts w:ascii="Times New Roman" w:cs="Times New Roman" w:eastAsia="Times New Roman" w:hAnsi="Times New Roman"/>
          <w:sz w:val="24"/>
          <w:szCs w:val="24"/>
        </w:rPr>
        <w:t xml:space="preserve">In production, the key performance indicator is incremental revenue per bonus dollar spent. This metric is computed using the always-on holdout structure:</w:t>
      </w:r>
    </w:p>
    <w:p>
      <w:pPr>
        <w:spacing w:before="200" w:after="200"/>
        <w:jc w:val="center"/>
      </w:pPr>
      <w:r>
        <w:rPr>
          <w:i/>
          <w:iCs/>
          <w:sz w:val="24"/>
          <w:szCs w:val="24"/>
        </w:rPr>
        <w:t xml:space="preserve">ROI = (Revenue_targeted - Revenue_control) / Bonus_spend</w:t>
      </w:r>
    </w:p>
    <w:p>
      <w:pPr>
        <w:spacing w:after="200" w:line="276"/>
      </w:pPr>
      <w:r>
        <w:rPr>
          <w:rFonts w:ascii="Times New Roman" w:cs="Times New Roman" w:eastAsia="Times New Roman" w:hAnsi="Times New Roman"/>
          <w:sz w:val="24"/>
          <w:szCs w:val="24"/>
        </w:rPr>
        <w:t xml:space="preserve">Secondary metrics include targeting efficiency (what fraction of bonuses went to players who showed positive treatment effects), model calibration drift (whether the relationship between predicted and actual uplift remains stable), and budget utilisation (whether the system is using its full budget effectively).</w:t>
      </w:r>
    </w:p>
    <w:p>
      <w:pPr>
        <w:pStyle w:val="Heading2"/>
      </w:pPr>
      <w:r>
        <w:t xml:space="preserve">9.4 Illustrative Simulation</w:t>
      </w:r>
    </w:p>
    <w:p>
      <w:pPr>
        <w:spacing w:after="200" w:line="276"/>
      </w:pPr>
      <w:r>
        <w:rPr>
          <w:rFonts w:ascii="Times New Roman" w:cs="Times New Roman" w:eastAsia="Times New Roman" w:hAnsi="Times New Roman"/>
          <w:sz w:val="24"/>
          <w:szCs w:val="24"/>
        </w:rPr>
        <w:t xml:space="preserve">To illustrate how the framework operates and to demonstrate the theoretical mechanisms underlying its design, we present a stylized simulation. This simulation is not intended as empirical validation—which would require deployment with real player data—but rather as a pedagogical tool that shows why uplift-based targeting outperforms traditional approaches when the assumptions of heterogeneous treatment effects hold. The simulation creates a synthetic population of 10,000 players with known response functions, allowing us to observe true treatment effects that would be unobservable in practice.</w:t>
      </w:r>
    </w:p>
    <w:p>
      <w:pPr>
        <w:pStyle w:val="Heading3"/>
      </w:pPr>
      <w:r>
        <w:t xml:space="preserve">9.4.1 Setup</w:t>
      </w:r>
    </w:p>
    <w:p>
      <w:pPr>
        <w:spacing w:after="200" w:line="276"/>
      </w:pPr>
      <w:r>
        <w:rPr>
          <w:rFonts w:ascii="Times New Roman" w:cs="Times New Roman" w:eastAsia="Times New Roman" w:hAnsi="Times New Roman"/>
          <w:sz w:val="24"/>
          <w:szCs w:val="24"/>
        </w:rPr>
        <w:t xml:space="preserve">We generate a population with four latent segments matching the theoretical framework: Persuadables (15% of population), Sure Things (40%), Lost Causes (35%), and Sleeping Dogs (10%). Each player has features drawn from distributions calibrated to resemble typical gaming populations: account age (uniform 1-36 months), historical spend (log-normal with mean $50/week), login frequency (Poisson with mean 4/week), and bonus redemption history (beta-distributed).</w:t>
      </w:r>
    </w:p>
    <w:p>
      <w:pPr>
        <w:spacing w:after="200" w:line="276"/>
      </w:pPr>
      <w:r>
        <w:rPr>
          <w:rFonts w:ascii="Times New Roman" w:cs="Times New Roman" w:eastAsia="Times New Roman" w:hAnsi="Times New Roman"/>
          <w:sz w:val="24"/>
          <w:szCs w:val="24"/>
        </w:rPr>
        <w:t xml:space="preserve">The data generating process uses the following formulae. For each player i, we first assign a latent segment S_i and draw features:</w:t>
      </w:r>
    </w:p>
    <w:p>
      <w:pPr>
        <w:spacing w:before="200" w:after="100"/>
        <w:jc w:val="center"/>
      </w:pPr>
      <w:r>
        <w:rPr>
          <w:i/>
          <w:iCs/>
          <w:sz w:val="22"/>
          <w:szCs w:val="22"/>
        </w:rPr>
        <w:t xml:space="preserve">AccountAge_i ~ Uniform(1, 36)</w:t>
      </w:r>
    </w:p>
    <w:p>
      <w:pPr>
        <w:spacing w:before="100" w:after="100"/>
        <w:jc w:val="center"/>
      </w:pPr>
      <w:r>
        <w:rPr>
          <w:i/>
          <w:iCs/>
          <w:sz w:val="22"/>
          <w:szCs w:val="22"/>
        </w:rPr>
        <w:t xml:space="preserve">WeeklySpend_i ~ LogNormal(μ=3.9, σ=0.8)  [mean ≈ $50]</w:t>
      </w:r>
    </w:p>
    <w:p>
      <w:pPr>
        <w:spacing w:before="100" w:after="100"/>
        <w:jc w:val="center"/>
      </w:pPr>
      <w:r>
        <w:rPr>
          <w:i/>
          <w:iCs/>
          <w:sz w:val="22"/>
          <w:szCs w:val="22"/>
        </w:rPr>
        <w:t xml:space="preserve">LoginFreq_i ~ Poisson(λ=4)</w:t>
      </w:r>
    </w:p>
    <w:p>
      <w:pPr>
        <w:spacing w:before="100" w:after="200"/>
        <w:jc w:val="center"/>
      </w:pPr>
      <w:r>
        <w:rPr>
          <w:i/>
          <w:iCs/>
          <w:sz w:val="22"/>
          <w:szCs w:val="22"/>
        </w:rPr>
        <w:t xml:space="preserve">BonusRedemptionRate_i ~ Beta(α=2, β=5)</w:t>
      </w:r>
    </w:p>
    <w:p>
      <w:pPr>
        <w:spacing w:after="200" w:line="276"/>
      </w:pPr>
      <w:r>
        <w:rPr>
          <w:rFonts w:ascii="Times New Roman" w:cs="Times New Roman" w:eastAsia="Times New Roman" w:hAnsi="Times New Roman"/>
          <w:sz w:val="24"/>
          <w:szCs w:val="24"/>
        </w:rPr>
        <w:t xml:space="preserve">The outcome Y_i (binary engagement in the next 7 days) is generated according to the potential outcomes framework. Each segment has a baseline probability P(Y₀=1) and a treatment effect τ:</w:t>
      </w:r>
    </w:p>
    <w:p>
      <w:pPr>
        <w:spacing w:before="200" w:after="100"/>
        <w:jc w:val="center"/>
      </w:pPr>
      <w:r>
        <w:rPr>
          <w:i/>
          <w:iCs/>
          <w:sz w:val="22"/>
          <w:szCs w:val="22"/>
        </w:rPr>
        <w:t xml:space="preserve">Y_i(0) ~ Bernoulli(P₀(S_i))  [control potential outcome]</w:t>
      </w:r>
    </w:p>
    <w:p>
      <w:pPr>
        <w:spacing w:before="100" w:after="100"/>
        <w:jc w:val="center"/>
      </w:pPr>
      <w:r>
        <w:rPr>
          <w:i/>
          <w:iCs/>
          <w:sz w:val="22"/>
          <w:szCs w:val="22"/>
        </w:rPr>
        <w:t xml:space="preserve">Y_i(1) ~ Bernoulli(min(1, P₀(S_i) + τ(S_i)))  [treated potential outcome]</w:t>
      </w:r>
    </w:p>
    <w:p>
      <w:pPr>
        <w:spacing w:before="100" w:after="200"/>
        <w:jc w:val="center"/>
      </w:pPr>
      <w:r>
        <w:rPr>
          <w:i/>
          <w:iCs/>
          <w:sz w:val="22"/>
          <w:szCs w:val="22"/>
        </w:rPr>
        <w:t xml:space="preserve">Y_i = T_i × Y_i(1) + (1 - T_i) × Y_i(0)  [observed outcome]</w:t>
      </w:r>
    </w:p>
    <w:p>
      <w:pPr>
        <w:spacing w:after="200" w:line="276"/>
      </w:pPr>
      <w:r>
        <w:rPr>
          <w:rFonts w:ascii="Times New Roman" w:cs="Times New Roman" w:eastAsia="Times New Roman" w:hAnsi="Times New Roman"/>
          <w:sz w:val="24"/>
          <w:szCs w:val="24"/>
        </w:rPr>
        <w:t xml:space="preserve">Where T_i ∈ {0,1} is the random treatment assignment. The segment-specific parameters are: Sure Things (P₀=0.85, τ=+0.03), Persuadables (P₀=0.40, τ=+0.35), Lost Causes (P₀=0.15, τ=+0.05), and Sleeping Dogs (P₀=0.70, τ=-0.15). Table 7 shows example rows from the simulated dataset.</w:t>
      </w:r>
    </w:p>
    <w:p>
      <w:pPr>
        <w:spacing w:before="200" w:after="100"/>
        <w:jc w:val="center"/>
      </w:pPr>
      <w:r>
        <w:rPr>
          <w:b/>
          <w:bCs/>
          <w:sz w:val="22"/>
          <w:szCs w:val="22"/>
        </w:rPr>
        <w:t xml:space="preserve">Table 7: Example Rows from Simulated Dataset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100"/>
        <w:gridCol w:w="1000"/>
        <w:gridCol w:w="1100"/>
        <w:gridCol w:w="1100"/>
        <w:gridCol w:w="900"/>
        <w:gridCol w:w="900"/>
        <w:gridCol w:w="1260"/>
      </w:tblGrid>
      <w:tr>
        <w:tc>
          <w:tcPr>
            <w:tcW w:type="dxa" w:w="900"/>
            <w:tcBorders>
              <w:top w:val="single" w:color="999999" w:sz="1"/>
              <w:left w:val="single" w:color="999999" w:sz="1"/>
              <w:bottom w:val="single" w:color="999999" w:sz="1"/>
              <w:right w:val="single" w:color="999999" w:sz="1"/>
            </w:tcBorders>
            <w:shd w:fill="E8E8E8" w:val="clear"/>
            <w:tcMar>
              <w:top w:type="dxa" w:w="60"/>
              <w:left w:type="dxa" w:w="60"/>
              <w:bottom w:type="dxa" w:w="60"/>
              <w:right w:type="dxa" w:w="60"/>
            </w:tcMar>
          </w:tcPr>
          <w:p>
            <w:r>
              <w:rPr>
                <w:b/>
                <w:bCs/>
                <w:sz w:val="18"/>
                <w:szCs w:val="18"/>
              </w:rPr>
              <w:t xml:space="preserve">ID</w:t>
            </w:r>
          </w:p>
        </w:tc>
        <w:tc>
          <w:tcPr>
            <w:tcW w:type="dxa" w:w="1100"/>
            <w:tcBorders>
              <w:top w:val="single" w:color="999999" w:sz="1"/>
              <w:left w:val="single" w:color="999999" w:sz="1"/>
              <w:bottom w:val="single" w:color="999999" w:sz="1"/>
              <w:right w:val="single" w:color="999999" w:sz="1"/>
            </w:tcBorders>
            <w:shd w:fill="E8E8E8" w:val="clear"/>
            <w:tcMar>
              <w:top w:type="dxa" w:w="60"/>
              <w:left w:type="dxa" w:w="60"/>
              <w:bottom w:type="dxa" w:w="60"/>
              <w:right w:type="dxa" w:w="60"/>
            </w:tcMar>
          </w:tcPr>
          <w:p>
            <w:r>
              <w:rPr>
                <w:b/>
                <w:bCs/>
                <w:sz w:val="18"/>
                <w:szCs w:val="18"/>
              </w:rPr>
              <w:t xml:space="preserve">Age (mo)</w:t>
            </w:r>
          </w:p>
        </w:tc>
        <w:tc>
          <w:tcPr>
            <w:tcW w:type="dxa" w:w="1100"/>
            <w:tcBorders>
              <w:top w:val="single" w:color="999999" w:sz="1"/>
              <w:left w:val="single" w:color="999999" w:sz="1"/>
              <w:bottom w:val="single" w:color="999999" w:sz="1"/>
              <w:right w:val="single" w:color="999999" w:sz="1"/>
            </w:tcBorders>
            <w:shd w:fill="E8E8E8" w:val="clear"/>
            <w:tcMar>
              <w:top w:type="dxa" w:w="60"/>
              <w:left w:type="dxa" w:w="60"/>
              <w:bottom w:type="dxa" w:w="60"/>
              <w:right w:type="dxa" w:w="60"/>
            </w:tcMar>
          </w:tcPr>
          <w:p>
            <w:r>
              <w:rPr>
                <w:b/>
                <w:bCs/>
                <w:sz w:val="18"/>
                <w:szCs w:val="18"/>
              </w:rPr>
              <w:t xml:space="preserve">Spend ($)</w:t>
            </w:r>
          </w:p>
        </w:tc>
        <w:tc>
          <w:tcPr>
            <w:tcW w:type="dxa" w:w="1000"/>
            <w:tcBorders>
              <w:top w:val="single" w:color="999999" w:sz="1"/>
              <w:left w:val="single" w:color="999999" w:sz="1"/>
              <w:bottom w:val="single" w:color="999999" w:sz="1"/>
              <w:right w:val="single" w:color="999999" w:sz="1"/>
            </w:tcBorders>
            <w:shd w:fill="E8E8E8" w:val="clear"/>
            <w:tcMar>
              <w:top w:type="dxa" w:w="60"/>
              <w:left w:type="dxa" w:w="60"/>
              <w:bottom w:type="dxa" w:w="60"/>
              <w:right w:type="dxa" w:w="60"/>
            </w:tcMar>
          </w:tcPr>
          <w:p>
            <w:r>
              <w:rPr>
                <w:b/>
                <w:bCs/>
                <w:sz w:val="18"/>
                <w:szCs w:val="18"/>
              </w:rPr>
              <w:t xml:space="preserve">Logins</w:t>
            </w:r>
          </w:p>
        </w:tc>
        <w:tc>
          <w:tcPr>
            <w:tcW w:type="dxa" w:w="1100"/>
            <w:tcBorders>
              <w:top w:val="single" w:color="999999" w:sz="1"/>
              <w:left w:val="single" w:color="999999" w:sz="1"/>
              <w:bottom w:val="single" w:color="999999" w:sz="1"/>
              <w:right w:val="single" w:color="999999" w:sz="1"/>
            </w:tcBorders>
            <w:shd w:fill="E8E8E8" w:val="clear"/>
            <w:tcMar>
              <w:top w:type="dxa" w:w="60"/>
              <w:left w:type="dxa" w:w="60"/>
              <w:bottom w:type="dxa" w:w="60"/>
              <w:right w:type="dxa" w:w="60"/>
            </w:tcMar>
          </w:tcPr>
          <w:p>
            <w:r>
              <w:rPr>
                <w:b/>
                <w:bCs/>
                <w:sz w:val="18"/>
                <w:szCs w:val="18"/>
              </w:rPr>
              <w:t xml:space="preserve">Redeem%</w:t>
            </w:r>
          </w:p>
        </w:tc>
        <w:tc>
          <w:tcPr>
            <w:tcW w:type="dxa" w:w="1100"/>
            <w:tcBorders>
              <w:top w:val="single" w:color="999999" w:sz="1"/>
              <w:left w:val="single" w:color="999999" w:sz="1"/>
              <w:bottom w:val="single" w:color="999999" w:sz="1"/>
              <w:right w:val="single" w:color="999999" w:sz="1"/>
            </w:tcBorders>
            <w:shd w:fill="E8E8E8" w:val="clear"/>
            <w:tcMar>
              <w:top w:type="dxa" w:w="60"/>
              <w:left w:type="dxa" w:w="60"/>
              <w:bottom w:type="dxa" w:w="60"/>
              <w:right w:type="dxa" w:w="60"/>
            </w:tcMar>
          </w:tcPr>
          <w:p>
            <w:r>
              <w:rPr>
                <w:b/>
                <w:bCs/>
                <w:sz w:val="18"/>
                <w:szCs w:val="18"/>
              </w:rPr>
              <w:t xml:space="preserve">Segment*</w:t>
            </w:r>
          </w:p>
        </w:tc>
        <w:tc>
          <w:tcPr>
            <w:tcW w:type="dxa" w:w="900"/>
            <w:tcBorders>
              <w:top w:val="single" w:color="999999" w:sz="1"/>
              <w:left w:val="single" w:color="999999" w:sz="1"/>
              <w:bottom w:val="single" w:color="999999" w:sz="1"/>
              <w:right w:val="single" w:color="999999" w:sz="1"/>
            </w:tcBorders>
            <w:shd w:fill="E8E8E8" w:val="clear"/>
            <w:tcMar>
              <w:top w:type="dxa" w:w="60"/>
              <w:left w:type="dxa" w:w="60"/>
              <w:bottom w:type="dxa" w:w="60"/>
              <w:right w:type="dxa" w:w="60"/>
            </w:tcMar>
          </w:tcPr>
          <w:p>
            <w:r>
              <w:rPr>
                <w:b/>
                <w:bCs/>
                <w:sz w:val="18"/>
                <w:szCs w:val="18"/>
              </w:rPr>
              <w:t xml:space="preserve">T</w:t>
            </w:r>
          </w:p>
        </w:tc>
        <w:tc>
          <w:tcPr>
            <w:tcW w:type="dxa" w:w="900"/>
            <w:tcBorders>
              <w:top w:val="single" w:color="999999" w:sz="1"/>
              <w:left w:val="single" w:color="999999" w:sz="1"/>
              <w:bottom w:val="single" w:color="999999" w:sz="1"/>
              <w:right w:val="single" w:color="999999" w:sz="1"/>
            </w:tcBorders>
            <w:shd w:fill="E8E8E8" w:val="clear"/>
            <w:tcMar>
              <w:top w:type="dxa" w:w="60"/>
              <w:left w:type="dxa" w:w="60"/>
              <w:bottom w:type="dxa" w:w="60"/>
              <w:right w:type="dxa" w:w="60"/>
            </w:tcMar>
          </w:tcPr>
          <w:p>
            <w:r>
              <w:rPr>
                <w:b/>
                <w:bCs/>
                <w:sz w:val="18"/>
                <w:szCs w:val="18"/>
              </w:rPr>
              <w:t xml:space="preserve">Y</w:t>
            </w:r>
          </w:p>
        </w:tc>
        <w:tc>
          <w:tcPr>
            <w:tcW w:type="dxa" w:w="1260"/>
            <w:tcBorders>
              <w:top w:val="single" w:color="999999" w:sz="1"/>
              <w:left w:val="single" w:color="999999" w:sz="1"/>
              <w:bottom w:val="single" w:color="999999" w:sz="1"/>
              <w:right w:val="single" w:color="999999" w:sz="1"/>
            </w:tcBorders>
            <w:shd w:fill="E8E8E8" w:val="clear"/>
            <w:tcMar>
              <w:top w:type="dxa" w:w="60"/>
              <w:left w:type="dxa" w:w="60"/>
              <w:bottom w:type="dxa" w:w="60"/>
              <w:right w:type="dxa" w:w="60"/>
            </w:tcMar>
          </w:tcPr>
          <w:p>
            <w:r>
              <w:rPr>
                <w:b/>
                <w:bCs/>
                <w:sz w:val="18"/>
                <w:szCs w:val="18"/>
              </w:rPr>
              <w:t xml:space="preserve">True τ*</w:t>
            </w:r>
          </w:p>
        </w:tc>
      </w:tr>
      <w:tr>
        <w:tc>
          <w:tcPr>
            <w:tcW w:type="dxa" w:w="9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1</w:t>
            </w:r>
          </w:p>
        </w:tc>
        <w:tc>
          <w:tcPr>
            <w:tcW w:type="dxa" w:w="11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24</w:t>
            </w:r>
          </w:p>
        </w:tc>
        <w:tc>
          <w:tcPr>
            <w:tcW w:type="dxa" w:w="11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67.20</w:t>
            </w:r>
          </w:p>
        </w:tc>
        <w:tc>
          <w:tcPr>
            <w:tcW w:type="dxa" w:w="10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5</w:t>
            </w:r>
          </w:p>
        </w:tc>
        <w:tc>
          <w:tcPr>
            <w:tcW w:type="dxa" w:w="11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0.31</w:t>
            </w:r>
          </w:p>
        </w:tc>
        <w:tc>
          <w:tcPr>
            <w:tcW w:type="dxa" w:w="11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Sure</w:t>
            </w:r>
          </w:p>
        </w:tc>
        <w:tc>
          <w:tcPr>
            <w:tcW w:type="dxa" w:w="9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1</w:t>
            </w:r>
          </w:p>
        </w:tc>
        <w:tc>
          <w:tcPr>
            <w:tcW w:type="dxa" w:w="9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1</w:t>
            </w:r>
          </w:p>
        </w:tc>
        <w:tc>
          <w:tcPr>
            <w:tcW w:type="dxa" w:w="126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+0.03</w:t>
            </w:r>
          </w:p>
        </w:tc>
      </w:tr>
      <w:tr>
        <w:tc>
          <w:tcPr>
            <w:tcW w:type="dxa" w:w="9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2</w:t>
            </w:r>
          </w:p>
        </w:tc>
        <w:tc>
          <w:tcPr>
            <w:tcW w:type="dxa" w:w="11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8</w:t>
            </w:r>
          </w:p>
        </w:tc>
        <w:tc>
          <w:tcPr>
            <w:tcW w:type="dxa" w:w="11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23.40</w:t>
            </w:r>
          </w:p>
        </w:tc>
        <w:tc>
          <w:tcPr>
            <w:tcW w:type="dxa" w:w="10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2</w:t>
            </w:r>
          </w:p>
        </w:tc>
        <w:tc>
          <w:tcPr>
            <w:tcW w:type="dxa" w:w="11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0.18</w:t>
            </w:r>
          </w:p>
        </w:tc>
        <w:tc>
          <w:tcPr>
            <w:tcW w:type="dxa" w:w="11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Persuad.</w:t>
            </w:r>
          </w:p>
        </w:tc>
        <w:tc>
          <w:tcPr>
            <w:tcW w:type="dxa" w:w="9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1</w:t>
            </w:r>
          </w:p>
        </w:tc>
        <w:tc>
          <w:tcPr>
            <w:tcW w:type="dxa" w:w="9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1</w:t>
            </w:r>
          </w:p>
        </w:tc>
        <w:tc>
          <w:tcPr>
            <w:tcW w:type="dxa" w:w="126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+0.35</w:t>
            </w:r>
          </w:p>
        </w:tc>
      </w:tr>
      <w:tr>
        <w:tc>
          <w:tcPr>
            <w:tcW w:type="dxa" w:w="9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3</w:t>
            </w:r>
          </w:p>
        </w:tc>
        <w:tc>
          <w:tcPr>
            <w:tcW w:type="dxa" w:w="11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31</w:t>
            </w:r>
          </w:p>
        </w:tc>
        <w:tc>
          <w:tcPr>
            <w:tcW w:type="dxa" w:w="11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12.80</w:t>
            </w:r>
          </w:p>
        </w:tc>
        <w:tc>
          <w:tcPr>
            <w:tcW w:type="dxa" w:w="10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1</w:t>
            </w:r>
          </w:p>
        </w:tc>
        <w:tc>
          <w:tcPr>
            <w:tcW w:type="dxa" w:w="11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0.08</w:t>
            </w:r>
          </w:p>
        </w:tc>
        <w:tc>
          <w:tcPr>
            <w:tcW w:type="dxa" w:w="11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Lost</w:t>
            </w:r>
          </w:p>
        </w:tc>
        <w:tc>
          <w:tcPr>
            <w:tcW w:type="dxa" w:w="9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0</w:t>
            </w:r>
          </w:p>
        </w:tc>
        <w:tc>
          <w:tcPr>
            <w:tcW w:type="dxa" w:w="9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0</w:t>
            </w:r>
          </w:p>
        </w:tc>
        <w:tc>
          <w:tcPr>
            <w:tcW w:type="dxa" w:w="126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+0.05</w:t>
            </w:r>
          </w:p>
        </w:tc>
      </w:tr>
      <w:tr>
        <w:tc>
          <w:tcPr>
            <w:tcW w:type="dxa" w:w="9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4</w:t>
            </w:r>
          </w:p>
        </w:tc>
        <w:tc>
          <w:tcPr>
            <w:tcW w:type="dxa" w:w="11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15</w:t>
            </w:r>
          </w:p>
        </w:tc>
        <w:tc>
          <w:tcPr>
            <w:tcW w:type="dxa" w:w="11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89.50</w:t>
            </w:r>
          </w:p>
        </w:tc>
        <w:tc>
          <w:tcPr>
            <w:tcW w:type="dxa" w:w="10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6</w:t>
            </w:r>
          </w:p>
        </w:tc>
        <w:tc>
          <w:tcPr>
            <w:tcW w:type="dxa" w:w="11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0.42</w:t>
            </w:r>
          </w:p>
        </w:tc>
        <w:tc>
          <w:tcPr>
            <w:tcW w:type="dxa" w:w="11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Sleeping</w:t>
            </w:r>
          </w:p>
        </w:tc>
        <w:tc>
          <w:tcPr>
            <w:tcW w:type="dxa" w:w="9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1</w:t>
            </w:r>
          </w:p>
        </w:tc>
        <w:tc>
          <w:tcPr>
            <w:tcW w:type="dxa" w:w="9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0</w:t>
            </w:r>
          </w:p>
        </w:tc>
        <w:tc>
          <w:tcPr>
            <w:tcW w:type="dxa" w:w="126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-0.15</w:t>
            </w:r>
          </w:p>
        </w:tc>
      </w:tr>
      <w:tr>
        <w:tc>
          <w:tcPr>
            <w:tcW w:type="dxa" w:w="9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5</w:t>
            </w:r>
          </w:p>
        </w:tc>
        <w:tc>
          <w:tcPr>
            <w:tcW w:type="dxa" w:w="11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3</w:t>
            </w:r>
          </w:p>
        </w:tc>
        <w:tc>
          <w:tcPr>
            <w:tcW w:type="dxa" w:w="11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41.70</w:t>
            </w:r>
          </w:p>
        </w:tc>
        <w:tc>
          <w:tcPr>
            <w:tcW w:type="dxa" w:w="10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3</w:t>
            </w:r>
          </w:p>
        </w:tc>
        <w:tc>
          <w:tcPr>
            <w:tcW w:type="dxa" w:w="11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0.25</w:t>
            </w:r>
          </w:p>
        </w:tc>
        <w:tc>
          <w:tcPr>
            <w:tcW w:type="dxa" w:w="11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Persuad.</w:t>
            </w:r>
          </w:p>
        </w:tc>
        <w:tc>
          <w:tcPr>
            <w:tcW w:type="dxa" w:w="9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0</w:t>
            </w:r>
          </w:p>
        </w:tc>
        <w:tc>
          <w:tcPr>
            <w:tcW w:type="dxa" w:w="90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0</w:t>
            </w:r>
          </w:p>
        </w:tc>
        <w:tc>
          <w:tcPr>
            <w:tcW w:type="dxa" w:w="1260"/>
            <w:tcBorders>
              <w:top w:val="single" w:color="999999" w:sz="1"/>
              <w:left w:val="single" w:color="999999" w:sz="1"/>
              <w:bottom w:val="single" w:color="999999" w:sz="1"/>
              <w:right w:val="single" w:color="999999" w:sz="1"/>
            </w:tcBorders>
            <w:tcMar>
              <w:top w:type="dxa" w:w="60"/>
              <w:left w:type="dxa" w:w="60"/>
              <w:bottom w:type="dxa" w:w="60"/>
              <w:right w:type="dxa" w:w="60"/>
            </w:tcMar>
          </w:tcPr>
          <w:p>
            <w:r>
              <w:rPr>
                <w:sz w:val="18"/>
                <w:szCs w:val="18"/>
              </w:rPr>
              <w:t xml:space="preserve">+0.35</w:t>
            </w:r>
          </w:p>
        </w:tc>
      </w:tr>
    </w:tbl>
    <w:p>
      <w:pPr>
        <w:spacing w:before="100" w:after="200"/>
        <w:jc w:val="center"/>
      </w:pPr>
      <w:r>
        <w:rPr>
          <w:i/>
          <w:iCs/>
          <w:sz w:val="18"/>
          <w:szCs w:val="18"/>
        </w:rPr>
        <w:t xml:space="preserve">*Segment and True τ are latent (unobserved in practice); shown here for illustration only. T=treatment assignment, Y=observed outcome.</w:t>
      </w:r>
    </w:p>
    <w:p>
      <w:pPr>
        <w:spacing w:after="200" w:line="276"/>
      </w:pPr>
      <w:r>
        <w:rPr>
          <w:rFonts w:ascii="Times New Roman" w:cs="Times New Roman" w:eastAsia="Times New Roman" w:hAnsi="Times New Roman"/>
          <w:sz w:val="24"/>
          <w:szCs w:val="24"/>
        </w:rPr>
        <w:t xml:space="preserve">Note that in practice, only the features (Age, Spend, Logins, Redeem%), treatment assignment (T), and outcome (Y) are observed. The segment labels and true treatment effects (τ) are latent—the entire purpose of the uplift model is to estimate τ from the observable data. The model learns to predict which players have high τ values based on patterns in their features, without ever directly observing τ.</w:t>
      </w:r>
    </w:p>
    <w:p>
      <w:pPr>
        <w:spacing w:after="200" w:line="276"/>
      </w:pPr>
      <w:r>
        <w:rPr>
          <w:rFonts w:ascii="Times New Roman" w:cs="Times New Roman" w:eastAsia="Times New Roman" w:hAnsi="Times New Roman"/>
          <w:sz w:val="24"/>
          <w:szCs w:val="24"/>
        </w:rPr>
        <w:t xml:space="preserve">We simulate a randomised experiment with 50% treatment assignment, train a T-learner uplift model on 70% of data, and evaluate on the held-out 30%. For the T-learner, we use gradient boosted decision trees (specifically, XGBoost) for both the treatment and control outcome models, as these handle non-linear relationships and feature interactions well while providing reasonable out-of-box performance. We compare four targeting strategies: (1) Random targeting (baseline), (2) Response model targeting (traditional approach using predicted engagement probability from a single model trained on all data), (3) Uplift-only targeting (our T-learner uplift model predictions), and (4) Full framework targeting (uplift × LTV × f(churn) priority score). Results are averaged over 50 simulation runs with different random seeds to account for stochastic variation.</w:t>
      </w:r>
    </w:p>
    <w:p>
      <w:pPr>
        <w:pStyle w:val="Heading3"/>
      </w:pPr>
      <w:r>
        <w:t xml:space="preserve">9.4.2 Illustrative Outcomes</w:t>
      </w:r>
    </w:p>
    <w:p>
      <w:pPr>
        <w:spacing w:after="200" w:line="276"/>
      </w:pPr>
      <w:r>
        <w:rPr>
          <w:rFonts w:ascii="Times New Roman" w:cs="Times New Roman" w:eastAsia="Times New Roman" w:hAnsi="Times New Roman"/>
          <w:sz w:val="24"/>
          <w:szCs w:val="24"/>
        </w:rPr>
        <w:t xml:space="preserve">Under a budget constraint allowing treatment of 30% of the population, the strategies yield markedly different outcomes. Table 8 summarizes the key metrics for each targeting approach, with standard deviations across 50 simulation runs shown in parentheses.</w:t>
      </w:r>
    </w:p>
    <w:p>
      <w:pPr>
        <w:spacing w:before="200" w:after="100"/>
        <w:jc w:val="center"/>
      </w:pPr>
      <w:r>
        <w:rPr>
          <w:b/>
          <w:bCs/>
          <w:sz w:val="22"/>
          <w:szCs w:val="22"/>
        </w:rPr>
        <w:t xml:space="preserve">Table 8: Simulation Results by Targeting Strategy (Mean ± SD over 50 runs)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c>
          <w:tcPr>
            <w:tcW w:type="dxa" w:w="28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2"/>
                <w:szCs w:val="22"/>
              </w:rPr>
              <w:t xml:space="preserve">Targeting Strategy</w:t>
            </w:r>
          </w:p>
        </w:tc>
        <w:tc>
          <w:tcPr>
            <w:tcW w:type="dxa" w:w="18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2"/>
                <w:szCs w:val="22"/>
              </w:rPr>
              <w:t xml:space="preserve">ATE (pp)</w:t>
            </w:r>
          </w:p>
        </w:tc>
        <w:tc>
          <w:tcPr>
            <w:tcW w:type="dxa" w:w="22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2"/>
                <w:szCs w:val="22"/>
              </w:rPr>
              <w:t xml:space="preserve">vs. Random</w:t>
            </w:r>
          </w:p>
        </w:tc>
        <w:tc>
          <w:tcPr>
            <w:tcW w:type="dxa" w:w="256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sz w:val="22"/>
                <w:szCs w:val="22"/>
              </w:rPr>
              <w:t xml:space="preserve">Incremental Revenue</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Random (baseline)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6.2 (±1.1)</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w:t>
            </w:r>
          </w:p>
        </w:tc>
        <w:tc>
          <w:tcPr>
            <w:tcW w:type="dxa" w:w="2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Baseline</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Response model</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4.1 (±0.9)</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-34%</w:t>
            </w:r>
          </w:p>
        </w:tc>
        <w:tc>
          <w:tcPr>
            <w:tcW w:type="dxa" w:w="2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-29%</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Uplift model only</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28.3 (±2.1)</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+356%</w:t>
            </w:r>
          </w:p>
        </w:tc>
        <w:tc>
          <w:tcPr>
            <w:tcW w:type="dxa" w:w="2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+312%</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Full framework</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24.7 (±1.8)</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+298%</w:t>
            </w:r>
          </w:p>
        </w:tc>
        <w:tc>
          <w:tcPr>
            <w:tcW w:type="dxa" w:w="2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sz w:val="22"/>
                <w:szCs w:val="22"/>
              </w:rPr>
              <w:t xml:space="preserve">+378%</w:t>
            </w:r>
          </w:p>
        </w:tc>
      </w:tr>
    </w:tbl>
    <w:p>
      <w:pPr>
        <w:spacing w:before="100" w:after="100"/>
        <w:jc w:val="center"/>
      </w:pPr>
      <w:r>
        <w:rPr>
          <w:i/>
          <w:iCs/>
          <w:sz w:val="20"/>
          <w:szCs w:val="20"/>
        </w:rPr>
        <w:t xml:space="preserve">Note: ATE = Average Treatment Effect in percentage points. Full framework uses Uplift × LTV × f(Churn).</w:t>
      </w:r>
    </w:p>
    <w:p>
      <w:pPr>
        <w:spacing w:after="200" w:line="276"/>
      </w:pPr>
      <w:r>
        <w:rPr>
          <w:rFonts w:ascii="Times New Roman" w:cs="Times New Roman" w:eastAsia="Times New Roman" w:hAnsi="Times New Roman"/>
          <w:sz w:val="24"/>
          <w:szCs w:val="24"/>
        </w:rPr>
        <w:t xml:space="preserve">The response model performs worse than random because it preferentially selects high-engagement players, inadvertently including Sleeping Dogs who have high baseline engagement but negative treatment effects. This confirms the theoretical prediction that traditional propensity models can actively destroy value when negative responders are present in the population.</w:t>
      </w:r>
    </w:p>
    <w:p>
      <w:pPr>
        <w:spacing w:after="200" w:line="276"/>
      </w:pPr>
      <w:r>
        <w:rPr>
          <w:rFonts w:ascii="Times New Roman" w:cs="Times New Roman" w:eastAsia="Times New Roman" w:hAnsi="Times New Roman"/>
          <w:sz w:val="24"/>
          <w:szCs w:val="24"/>
        </w:rPr>
        <w:t xml:space="preserve">The uplift-only model successfully identifies Persuadables, achieving 28.3 percentage points ATE—representing 81% of the theoretical maximum (35 pp for perfect identification of Persuadables). The gap reflects realistic model imperfection in learning segment membership from features.</w:t>
      </w:r>
    </w:p>
    <w:p>
      <w:pPr>
        <w:spacing w:after="200" w:line="276"/>
      </w:pPr>
      <w:r>
        <w:rPr>
          <w:rFonts w:ascii="Times New Roman" w:cs="Times New Roman" w:eastAsia="Times New Roman" w:hAnsi="Times New Roman"/>
          <w:sz w:val="24"/>
          <w:szCs w:val="24"/>
        </w:rPr>
        <w:t xml:space="preserve">The full framework trades some ATE for higher incremental revenue by prioritising high-LTV Persuadables over low-LTV ones. While this slightly reduces the average treatment effect (24.7 vs 28.3 pp), it generates 31% more incremental revenue than uplift-only targeting, demonstrating the value of incorporating customer value into the optimisation.</w:t>
      </w:r>
    </w:p>
    <w:p>
      <w:pPr>
        <w:pStyle w:val="Heading3"/>
      </w:pPr>
      <w:r>
        <w:t xml:space="preserve">9.4.3 Sensitivity Analysis</w:t>
      </w:r>
    </w:p>
    <w:p>
      <w:pPr>
        <w:spacing w:after="200" w:line="276"/>
      </w:pPr>
      <w:r>
        <w:rPr>
          <w:rFonts w:ascii="Times New Roman" w:cs="Times New Roman" w:eastAsia="Times New Roman" w:hAnsi="Times New Roman"/>
          <w:sz w:val="24"/>
          <w:szCs w:val="24"/>
        </w:rPr>
        <w:t xml:space="preserve">We vary key parameters to test robustness. When Persuadable prevalence drops from 15% to 5%, uplift targeting still outperforms alternatives but with smaller absolute gains (the model must find needles in a larger haystack). When treatment effects are more homogeneous (smaller variance across segments), the advantage of uplift targeting diminishes, approaching random targeting performance in the limit of zero heterogeneity. This confirms that the framework's value depends on the existence of meaningfully heterogeneous treatment effects in the population.</w:t>
      </w:r>
    </w:p>
    <w:p>
      <w:pPr>
        <w:spacing w:after="200" w:line="276"/>
      </w:pPr>
      <w:r>
        <w:rPr>
          <w:rFonts w:ascii="Times New Roman" w:cs="Times New Roman" w:eastAsia="Times New Roman" w:hAnsi="Times New Roman"/>
          <w:sz w:val="24"/>
          <w:szCs w:val="24"/>
        </w:rPr>
        <w:t xml:space="preserve">Varying the budget constraint reveals that uplift targeting shows greatest relative advantage at moderate budget levels (20-40% of population). At very low budgets, all methods perform similarly because even random selection hits some Persuadables. At very high budgets approaching full population coverage, differences compress because everyone eventually gets treated. The practical sweet spot aligns with typical marketing scenarios where budget constraints force prioritisation.</w:t>
      </w:r>
    </w:p>
    <w:p>
      <w:pPr>
        <w:spacing w:after="200" w:line="276"/>
      </w:pPr>
      <w:r>
        <w:rPr>
          <w:rFonts w:ascii="Times New Roman" w:cs="Times New Roman" w:eastAsia="Times New Roman" w:hAnsi="Times New Roman"/>
          <w:sz w:val="24"/>
          <w:szCs w:val="24"/>
        </w:rPr>
        <w:t xml:space="preserve">This illustrative simulation demonstrates the theoretical mechanisms that make uplift-based targeting valuable: by identifying heterogeneous treatment effects, the framework concentrates resources on players where intervention genuinely changes outcomes. The specific magnitudes shown here reflect our stylized assumptions and should not be interpreted as predictions of real-world performance. Actual improvements will depend on the true distribution of treatment effects in any given player population, the quality of available features, and the accuracy of the trained models. Validation of this framework on production data with real players remains an important direction for future work and would provide the empirical grounding that this theoretical treatment cannot. Nevertheless, the directional findings—that uplift targeting outperforms response targeting when treatment effect heterogeneity exists—are consistent with the empirical literature cited throughout this paper (Ascarza, 2018; Radcliffe and Surry, 2011).</w:t>
      </w:r>
    </w:p>
    <w:p>
      <w:r>
        <w:br w:type="page"/>
      </w:r>
    </w:p>
    <w:p>
      <w:pPr>
        <w:pStyle w:val="Heading1"/>
      </w:pPr>
      <w:r>
        <w:t xml:space="preserve">10. Limitations and Practical Considerations</w:t>
      </w:r>
    </w:p>
    <w:p>
      <w:pPr>
        <w:pStyle w:val="Heading2"/>
      </w:pPr>
      <w:r>
        <w:t xml:space="preserve">10.1 Data Requirements</w:t>
      </w:r>
    </w:p>
    <w:p>
      <w:pPr>
        <w:spacing w:after="200" w:line="276"/>
      </w:pPr>
      <w:r>
        <w:rPr>
          <w:rFonts w:ascii="Times New Roman" w:cs="Times New Roman" w:eastAsia="Times New Roman" w:hAnsi="Times New Roman"/>
          <w:sz w:val="24"/>
          <w:szCs w:val="24"/>
        </w:rPr>
        <w:t xml:space="preserve">Uplift modelling requires randomised experimental data. Organisations without a culture of experimentation may find it difficult to obtain the necessary training data. The initial experiment represents a cost, as bonuses given to the control group represent foregone revenue (for players who would have responded anyway).</w:t>
      </w:r>
    </w:p>
    <w:p>
      <w:pPr>
        <w:spacing w:after="200" w:line="276"/>
      </w:pPr>
      <w:r>
        <w:rPr>
          <w:rFonts w:ascii="Times New Roman" w:cs="Times New Roman" w:eastAsia="Times New Roman" w:hAnsi="Times New Roman"/>
          <w:sz w:val="24"/>
          <w:szCs w:val="24"/>
        </w:rPr>
        <w:t xml:space="preserve">Sample size requirements are substantial. Detecting heterogeneous treatment effects requires more data than detecting average treatment effects. Organisations with small player bases may lack sufficient statistical power for reliable uplift estimation (Radcliffe and Surry, 2011).</w:t>
      </w:r>
    </w:p>
    <w:p>
      <w:pPr>
        <w:pStyle w:val="Heading2"/>
      </w:pPr>
      <w:r>
        <w:t xml:space="preserve">10.2 Model Complexity</w:t>
      </w:r>
    </w:p>
    <w:p>
      <w:pPr>
        <w:spacing w:after="200" w:line="276"/>
      </w:pPr>
      <w:r>
        <w:rPr>
          <w:rFonts w:ascii="Times New Roman" w:cs="Times New Roman" w:eastAsia="Times New Roman" w:hAnsi="Times New Roman"/>
          <w:sz w:val="24"/>
          <w:szCs w:val="24"/>
        </w:rPr>
        <w:t xml:space="preserve">The multi-model architecture introduces operational complexity. Three models must be maintained, monitored, and retrained. Model interactions must be considered (for example, high-LTV predictions may correlate with certain uplift patterns). Technical teams must develop expertise in causal inference methods that may be less familiar than standard predictive modelling.</w:t>
      </w:r>
    </w:p>
    <w:p>
      <w:pPr>
        <w:pStyle w:val="Heading2"/>
      </w:pPr>
      <w:r>
        <w:t xml:space="preserve">10.3 Assumption Violations</w:t>
      </w:r>
    </w:p>
    <w:p>
      <w:pPr>
        <w:spacing w:after="200" w:line="276"/>
      </w:pPr>
      <w:r>
        <w:rPr>
          <w:rFonts w:ascii="Times New Roman" w:cs="Times New Roman" w:eastAsia="Times New Roman" w:hAnsi="Times New Roman"/>
          <w:sz w:val="24"/>
          <w:szCs w:val="24"/>
        </w:rPr>
        <w:t xml:space="preserve">The framework relies on several assumptions that may be violated in practice:</w:t>
      </w:r>
    </w:p>
    <w:p>
      <w:pPr>
        <w:spacing w:after="200" w:line="276"/>
      </w:pPr>
      <w:r>
        <w:rPr>
          <w:rFonts w:ascii="Times New Roman" w:cs="Times New Roman" w:eastAsia="Times New Roman" w:hAnsi="Times New Roman"/>
          <w:b/>
          <w:bCs/>
          <w:sz w:val="24"/>
          <w:szCs w:val="24"/>
        </w:rPr>
        <w:t xml:space="preserve">Stable Unit Treatment Value Assumption (SUTVA): </w:t>
      </w:r>
      <w:r>
        <w:rPr>
          <w:rFonts w:ascii="Times New Roman" w:cs="Times New Roman" w:eastAsia="Times New Roman" w:hAnsi="Times New Roman"/>
          <w:sz w:val="24"/>
          <w:szCs w:val="24"/>
        </w:rPr>
        <w:t xml:space="preserve">We assume that one player's treatment does not affect another player's outcome. This assumption is particularly vulnerable in online gaming contexts where social features are prevalent. If Player A (treated) receives a bonus and invites Player B (control) to play together, Player B's engagement outcome is influenced by Player A's treatment, violating independence. Such spillover effects can cause standard difference-in-means estimators to underestimate true treatment effects. When network interference is suspected, cluster-based randomisation offers a methodological solution: by assigning entire guilds, clans, or dense social clusters to treatment or control together, the framework can internalise spillovers and better satisfy SUTVA (Rubin, 1980).</w:t>
      </w:r>
    </w:p>
    <w:p>
      <w:pPr>
        <w:spacing w:after="200" w:line="276"/>
      </w:pPr>
      <w:r>
        <w:rPr>
          <w:rFonts w:ascii="Times New Roman" w:cs="Times New Roman" w:eastAsia="Times New Roman" w:hAnsi="Times New Roman"/>
          <w:b/>
          <w:bCs/>
          <w:sz w:val="24"/>
          <w:szCs w:val="24"/>
        </w:rPr>
        <w:t xml:space="preserve">Positivity: </w:t>
      </w:r>
      <w:r>
        <w:rPr>
          <w:rFonts w:ascii="Times New Roman" w:cs="Times New Roman" w:eastAsia="Times New Roman" w:hAnsi="Times New Roman"/>
          <w:sz w:val="24"/>
          <w:szCs w:val="24"/>
        </w:rPr>
        <w:t xml:space="preserve">We assume that all player types have some probability of appearing in both treatment and control conditions. If certain player segments are systematically excluded from experiments, uplift cannot be estimated for those segments.</w:t>
      </w:r>
    </w:p>
    <w:p>
      <w:pPr>
        <w:spacing w:after="200" w:line="276"/>
      </w:pPr>
      <w:r>
        <w:rPr>
          <w:rFonts w:ascii="Times New Roman" w:cs="Times New Roman" w:eastAsia="Times New Roman" w:hAnsi="Times New Roman"/>
          <w:b/>
          <w:bCs/>
          <w:sz w:val="24"/>
          <w:szCs w:val="24"/>
        </w:rPr>
        <w:t xml:space="preserve">Stationarity: </w:t>
      </w:r>
      <w:r>
        <w:rPr>
          <w:rFonts w:ascii="Times New Roman" w:cs="Times New Roman" w:eastAsia="Times New Roman" w:hAnsi="Times New Roman"/>
          <w:sz w:val="24"/>
          <w:szCs w:val="24"/>
        </w:rPr>
        <w:t xml:space="preserve">We assume that the relationship between features and treatment effects is stable over time. Product changes, market shifts, or player base evolution may invalidate models trained on historical data.</w:t>
      </w:r>
    </w:p>
    <w:p>
      <w:pPr>
        <w:pStyle w:val="Heading2"/>
      </w:pPr>
      <w:r>
        <w:t xml:space="preserve">10.4 Long-Term Effects</w:t>
      </w:r>
    </w:p>
    <w:p>
      <w:pPr>
        <w:spacing w:after="200" w:line="276"/>
      </w:pPr>
      <w:r>
        <w:rPr>
          <w:rFonts w:ascii="Times New Roman" w:cs="Times New Roman" w:eastAsia="Times New Roman" w:hAnsi="Times New Roman"/>
          <w:sz w:val="24"/>
          <w:szCs w:val="24"/>
        </w:rPr>
        <w:t xml:space="preserve">The framework optimises for short-term measurable outcomes. Longer-term effects are more difficult to capture but may be significant. Frequent bonusing may condition players to expect rewards, reducing their baseline engagement and increasing their uplift (but in an economically unfavourable way). Conversely, well-timed bonuses may establish positive habits that persist beyond the measurement window. More sophisticated approaches using reinforcement learning can address these dynamics but add considerable complexity (Sutton and Barto, 2018).</w:t>
      </w:r>
    </w:p>
    <w:p>
      <w:pPr>
        <w:pStyle w:val="Heading2"/>
      </w:pPr>
      <w:r>
        <w:t xml:space="preserve">10.5 Strategic Player Behaviour</w:t>
      </w:r>
    </w:p>
    <w:p>
      <w:pPr>
        <w:spacing w:after="200" w:line="276"/>
      </w:pPr>
      <w:r>
        <w:rPr>
          <w:rFonts w:ascii="Times New Roman" w:cs="Times New Roman" w:eastAsia="Times New Roman" w:hAnsi="Times New Roman"/>
          <w:sz w:val="24"/>
          <w:szCs w:val="24"/>
        </w:rPr>
        <w:t xml:space="preserve">A limitation not addressed by the modelling framework is the risk of players adapting their behaviour in response to the bonus allocation strategy. If players learn that periods of inactivity trigger retention bonuses (as illustrated in the Alice example, where declining engagement led to bonus eligibility), some may intentionally reduce play to receive incentives. This strategic behaviour could erode the causal relationships the model has learned, effectively converting Sure Things into artificial Persuadables.</w:t>
      </w:r>
    </w:p>
    <w:p>
      <w:pPr>
        <w:spacing w:after="200" w:line="276"/>
      </w:pPr>
      <w:r>
        <w:rPr>
          <w:rFonts w:ascii="Times New Roman" w:cs="Times New Roman" w:eastAsia="Times New Roman" w:hAnsi="Times New Roman"/>
          <w:sz w:val="24"/>
          <w:szCs w:val="24"/>
        </w:rPr>
        <w:t xml:space="preserve">Mitigating this risk requires careful operational design. Strategies include randomising bonus timing and amounts so players cannot easily predict the triggering conditions, implementing hard-to-game eligibility rules that consider multiple behavioural dimensions, setting minimum engagement thresholds that make strategic inactivity costly, and avoiding explicit communication that links specific behaviours to bonus receipt. The business rules layer provides a natural place to implement such safeguards.</w:t>
      </w:r>
    </w:p>
    <w:p>
      <w:pPr>
        <w:pStyle w:val="Heading2"/>
      </w:pPr>
      <w:r>
        <w:t xml:space="preserve">10.6 Cold Start Problem</w:t>
      </w:r>
    </w:p>
    <w:p>
      <w:pPr>
        <w:spacing w:after="200" w:line="276"/>
      </w:pPr>
      <w:r>
        <w:rPr>
          <w:rFonts w:ascii="Times New Roman" w:cs="Times New Roman" w:eastAsia="Times New Roman" w:hAnsi="Times New Roman"/>
          <w:sz w:val="24"/>
          <w:szCs w:val="24"/>
        </w:rPr>
        <w:t xml:space="preserve">The framework assumes sufficient historical data to compute meaningful features and reliable model predictions for each player. New players who have recently signed up present a cold start problem: they lack the behavioural history needed for accurate LTV estimation, churn prediction, or uplift scoring. The models may underperform substantially for this segment, potentially leading to suboptimal bonus allocation during the critical early-lifecycle period when player habits are being formed.</w:t>
      </w:r>
    </w:p>
    <w:p>
      <w:pPr>
        <w:spacing w:after="200" w:line="276"/>
      </w:pPr>
      <w:r>
        <w:rPr>
          <w:rFonts w:ascii="Times New Roman" w:cs="Times New Roman" w:eastAsia="Times New Roman" w:hAnsi="Times New Roman"/>
          <w:sz w:val="24"/>
          <w:szCs w:val="24"/>
        </w:rPr>
        <w:t xml:space="preserve">Addressing the cold start problem may require a separate strategy for new players. One promising approach is contextual bandit algorithms (such as Thompson Sampling or Upper Confidence Bound methods), which explicitly balance exploration and exploitation. For new players where uplift prediction uncertainty is high, bandit algorithms can deliberately explore different bonus strategies to rapidly reduce uncertainty and converge on the optimal policy for that cohort. Additional strategies include: default bonus policies applied uniformly until sufficient data accumulates, accelerated experimentation with higher random assignment rates for new cohorts, or transfer learning approaches that leverage patterns from similar players. The framework as presented optimises for players with established behavioural records, and integrating bandit-based approaches for the cold start segment represents an important direction for future work.</w:t>
      </w:r>
    </w:p>
    <w:p>
      <w:pPr>
        <w:pStyle w:val="Heading2"/>
      </w:pPr>
      <w:r>
        <w:t xml:space="preserve">10.7 Multiple Concurrent Treatments</w:t>
      </w:r>
    </w:p>
    <w:p>
      <w:pPr>
        <w:spacing w:after="200" w:line="276"/>
      </w:pPr>
      <w:r>
        <w:rPr>
          <w:rFonts w:ascii="Times New Roman" w:cs="Times New Roman" w:eastAsia="Times New Roman" w:hAnsi="Times New Roman"/>
          <w:sz w:val="24"/>
          <w:szCs w:val="24"/>
        </w:rPr>
        <w:t xml:space="preserve">The framework focuses on optimising a single intervention type (bonuses versus no bonus). In practice, marketing teams often deploy multiple campaigns and channels simultaneously: email promotions, push notifications, in-app messages, and various bonus types. When players receive overlapping treatments, attributing outcomes to specific interventions becomes challenging, and the single-treatment uplift model may not capture interaction effects.</w:t>
      </w:r>
    </w:p>
    <w:p>
      <w:pPr>
        <w:spacing w:after="200" w:line="276"/>
      </w:pPr>
      <w:r>
        <w:rPr>
          <w:rFonts w:ascii="Times New Roman" w:cs="Times New Roman" w:eastAsia="Times New Roman" w:hAnsi="Times New Roman"/>
          <w:sz w:val="24"/>
          <w:szCs w:val="24"/>
        </w:rPr>
        <w:t xml:space="preserve">Extending the framework to multiple treatments requires more complex experimental designs (factorial or fractional factorial) and multi-arm uplift models that can estimate effects for each treatment combination. Rzepakowski and Jaroszewicz (2012) discuss decision trees for multiple treatments, and Olaya, Coussement and Verbeke (2020) provide a comprehensive survey and benchmarking of multi-treatment uplift approaches. However, the data requirements and operational complexity increase substantially. For most implementations, coordinating marketing activities to minimise overlap and attributing outcomes to the dominant treatment may be a practical compromise.</w:t>
      </w:r>
    </w:p>
    <w:p>
      <w:pPr>
        <w:pStyle w:val="Heading2"/>
      </w:pPr>
      <w:r>
        <w:t xml:space="preserve">10.8 Ethical Considerations</w:t>
      </w:r>
    </w:p>
    <w:p>
      <w:pPr>
        <w:spacing w:after="200" w:line="276"/>
      </w:pPr>
      <w:r>
        <w:rPr>
          <w:rFonts w:ascii="Times New Roman" w:cs="Times New Roman" w:eastAsia="Times New Roman" w:hAnsi="Times New Roman"/>
          <w:sz w:val="24"/>
          <w:szCs w:val="24"/>
        </w:rPr>
        <w:t xml:space="preserve">The deployment of algorithmic targeting systems raises important ethical considerations that practitioners must address. First, the use of behavioural data for targeting requires appropriate consent and data governance practices. Players should be informed about how their data is used, consistent with privacy regulations such as GDPR.</w:t>
      </w:r>
    </w:p>
    <w:p>
      <w:pPr>
        <w:spacing w:after="200" w:line="276"/>
      </w:pPr>
      <w:r>
        <w:rPr>
          <w:rFonts w:ascii="Times New Roman" w:cs="Times New Roman" w:eastAsia="Times New Roman" w:hAnsi="Times New Roman"/>
          <w:sz w:val="24"/>
          <w:szCs w:val="24"/>
        </w:rPr>
        <w:t xml:space="preserve">Second, there is a fundamental risk that optimisation systems could exploit vulnerable players. Uplift modelling is designed to find players who are most responsive to stimuli—and in gaming contexts, the 'Persuadable' segment may overlap substantially with players exhibiting early signs of problem gambling. If an algorithm discovers that players showing distress signals (e.g., chasing losses, erratic session patterns) have high uplift, it will rationally target them to maximise the objective function, leading to predatory algorithmic targeting.</w:t>
      </w:r>
    </w:p>
    <w:p>
      <w:pPr>
        <w:spacing w:after="200" w:line="276"/>
      </w:pPr>
      <w:r>
        <w:rPr>
          <w:rFonts w:ascii="Times New Roman" w:cs="Times New Roman" w:eastAsia="Times New Roman" w:hAnsi="Times New Roman"/>
          <w:sz w:val="24"/>
          <w:szCs w:val="24"/>
        </w:rPr>
        <w:t xml:space="preserve">To prevent this, responsible gaming (RG) constraints must be applied as hard upstream constraints on the optimisation, not merely as another application. Specifically, any player flagged by a separate addiction-detection or vulnerability model should have their priority score zeroed out regardless of their theoretical uplift. This can be formalised as: Priority_i = 0 if RiskScore_i &gt; Threshold, else Uplift_i × LTV_i × f(Churn_i). Organisations should establish clear ethical guidelines and oversight mechanisms consistent with regulatory requirements such as the UK Gambling Commission's Licence Conditions and Codes of Practice regarding customer interaction and social responsibility. The business rules layer provides a natural mechanism to implement these safeguards.</w:t>
      </w:r>
    </w:p>
    <w:p>
      <w:pPr>
        <w:spacing w:after="200" w:line="276"/>
      </w:pPr>
      <w:r>
        <w:rPr>
          <w:rFonts w:ascii="Times New Roman" w:cs="Times New Roman" w:eastAsia="Times New Roman" w:hAnsi="Times New Roman"/>
          <w:sz w:val="24"/>
          <w:szCs w:val="24"/>
        </w:rPr>
        <w:t xml:space="preserve">Third, fairness in algorithmic targeting deserves attention. If certain demographic groups systematically receive different treatment due to model predictions, this could raise concerns about discriminatory outcomes. Regular audits of model predictions across protected characteristics can help identify and mitigate such disparities, even when these characteristics are not used as model inputs.</w:t>
      </w:r>
    </w:p>
    <w:p>
      <w:r>
        <w:br w:type="page"/>
      </w:r>
    </w:p>
    <w:p>
      <w:pPr>
        <w:pStyle w:val="Heading1"/>
      </w:pPr>
      <w:r>
        <w:t xml:space="preserve">11. Conclusion</w:t>
      </w:r>
    </w:p>
    <w:p>
      <w:pPr>
        <w:spacing w:after="200" w:line="276"/>
      </w:pPr>
      <w:r>
        <w:rPr>
          <w:rFonts w:ascii="Times New Roman" w:cs="Times New Roman" w:eastAsia="Times New Roman" w:hAnsi="Times New Roman"/>
          <w:sz w:val="24"/>
          <w:szCs w:val="24"/>
        </w:rPr>
        <w:t xml:space="preserve">This paper has presented a comprehensive framework for optimising player bonus allocation using causal inference and machine learning. The key insight underlying the approach is that effective marketing requires identifying not just who will respond, but who will respond differently depending on whether they are treated (Lo, 2002; Radcliffe and Surry, 2011).</w:t>
      </w:r>
    </w:p>
    <w:p>
      <w:pPr>
        <w:spacing w:after="200" w:line="276"/>
      </w:pPr>
      <w:r>
        <w:rPr>
          <w:rFonts w:ascii="Times New Roman" w:cs="Times New Roman" w:eastAsia="Times New Roman" w:hAnsi="Times New Roman"/>
          <w:sz w:val="24"/>
          <w:szCs w:val="24"/>
        </w:rPr>
        <w:t xml:space="preserve">The framework addresses this challenge through uplift modelling, which estimates individual-level treatment effects from randomised experimental data. By combining uplift predictions with lifetime value estimation and churn probability models, the system enables nuanced optimisation that balances persuadability with player value and intervention timing (Ascarza, 2018).</w:t>
      </w:r>
    </w:p>
    <w:p>
      <w:pPr>
        <w:spacing w:after="200" w:line="276"/>
      </w:pPr>
      <w:r>
        <w:rPr>
          <w:rFonts w:ascii="Times New Roman" w:cs="Times New Roman" w:eastAsia="Times New Roman" w:hAnsi="Times New Roman"/>
          <w:sz w:val="24"/>
          <w:szCs w:val="24"/>
        </w:rPr>
        <w:t xml:space="preserve">The operational architecture ensures that the system remains effective over time through regular rescoring to reflect changing player states, periodic retraining to adapt to evolving patterns, and continuous experimentation to measure ongoing performance (Kohavi, Tang and Xu, 2020).</w:t>
      </w:r>
    </w:p>
    <w:p>
      <w:pPr>
        <w:spacing w:after="200" w:line="276"/>
      </w:pPr>
      <w:r>
        <w:rPr>
          <w:rFonts w:ascii="Times New Roman" w:cs="Times New Roman" w:eastAsia="Times New Roman" w:hAnsi="Times New Roman"/>
          <w:sz w:val="24"/>
          <w:szCs w:val="24"/>
        </w:rPr>
        <w:t xml:space="preserve">While the framework introduces complexity relative to simpler approaches, the potential returns are substantial when treatment effect heterogeneity exists in the target population. Our illustrative simulation demonstrates the theoretical mechanisms, and field experiments in related domains have shown meaningful improvements in retention outcomes and targeting efficiency (Ascarza, 2018; Radcliffe and Surry, 2011). The magnitude of improvement in any specific application will depend on the true distribution of treatment effects, data quality, and implementation fidelity.</w:t>
      </w:r>
    </w:p>
    <w:p>
      <w:pPr>
        <w:spacing w:after="200" w:line="276"/>
      </w:pPr>
      <w:r>
        <w:rPr>
          <w:rFonts w:ascii="Times New Roman" w:cs="Times New Roman" w:eastAsia="Times New Roman" w:hAnsi="Times New Roman"/>
          <w:sz w:val="24"/>
          <w:szCs w:val="24"/>
        </w:rPr>
        <w:t xml:space="preserve">Future work may extend the framework in several directions: validating the approach on production gaming data or publicly available uplift datasets (such as the Hillstrom email campaign dataset or similar marketing benchmarks) to quantify real-world performance beyond stylized simulations, incorporating reinforcement learning for long-horizon optimisation that accounts for player adaptation over time, developing methods for optimal bonus amount personalisation (not just binary targeting), and integrating with real-time decision systems for event-triggered interventions.</w:t>
      </w:r>
    </w:p>
    <w:p>
      <w:pPr>
        <w:spacing w:after="200" w:line="276"/>
      </w:pPr>
      <w:r>
        <w:rPr>
          <w:rFonts w:ascii="Times New Roman" w:cs="Times New Roman" w:eastAsia="Times New Roman" w:hAnsi="Times New Roman"/>
          <w:sz w:val="24"/>
          <w:szCs w:val="24"/>
        </w:rPr>
        <w:t xml:space="preserve">From a theoretical perspective, this work contributes to the literature by demonstrating how causal machine learning techniques can be operationalised in a complex, value-optimised marketing setting. In contrast to prior work that addresses individual components in isolation—uplift modelling methodology, churn prediction, or lifetime value estimation—this paper provides the first comprehensive blueprint integrating all three into an end-to-end deployment framework with continuous learning capabilities, specifically tailored to the gaming industry's bonus allocation challenge. The framework bridges the gap between experimental uplift modelling research and real-world CRM strategy. We hope it provides a useful foundation for both researchers exploring the intersection of causal inference and marketing analytics, and practitioners seeking to move from intuition-based bonus allocation toward principled, causal optimisation.</w:t>
      </w:r>
    </w:p>
    <w:p>
      <w:r>
        <w:br w:type="page"/>
      </w:r>
    </w:p>
    <w:p>
      <w:pPr>
        <w:pStyle w:val="Heading1"/>
      </w:pPr>
      <w:r>
        <w:t xml:space="preserve">References</w:t>
      </w:r>
    </w:p>
    <w:p>
      <w:pPr>
        <w:spacing w:after="200" w:line="276"/>
      </w:pPr>
      <w:r>
        <w:rPr>
          <w:rFonts w:ascii="Times New Roman" w:cs="Times New Roman" w:eastAsia="Times New Roman" w:hAnsi="Times New Roman"/>
          <w:sz w:val="24"/>
          <w:szCs w:val="24"/>
        </w:rPr>
        <w:t xml:space="preserve">Anderson, E.T. and Simester, D.I. (2004) 'Long-run effects of promotion depth on new versus established customers: Three field studies', Marketing Science, 23(1), pp. 4-20.</w:t>
      </w:r>
    </w:p>
    <w:p>
      <w:pPr>
        <w:spacing w:after="200" w:line="276"/>
      </w:pPr>
      <w:r>
        <w:rPr>
          <w:rFonts w:ascii="Times New Roman" w:cs="Times New Roman" w:eastAsia="Times New Roman" w:hAnsi="Times New Roman"/>
          <w:sz w:val="24"/>
          <w:szCs w:val="24"/>
        </w:rPr>
        <w:t xml:space="preserve">Ascarza, E. (2018) 'Retention futility: Targeting high-risk customers might be ineffective', Journal of Marketing Research, 55(1), pp. 80-98.</w:t>
      </w:r>
    </w:p>
    <w:p>
      <w:pPr>
        <w:spacing w:after="200" w:line="276"/>
      </w:pPr>
      <w:r>
        <w:rPr>
          <w:rFonts w:ascii="Times New Roman" w:cs="Times New Roman" w:eastAsia="Times New Roman" w:hAnsi="Times New Roman"/>
          <w:sz w:val="24"/>
          <w:szCs w:val="24"/>
        </w:rPr>
        <w:t xml:space="preserve">Ascarza, E., Iyengar, R. and Schleicher, M. (2016) 'The perils of proactive churn prevention using plan recommendations: Evidence from a field experiment', Journal of Marketing Research, 53(1), pp. 46-60.</w:t>
      </w:r>
    </w:p>
    <w:p>
      <w:pPr>
        <w:spacing w:after="200" w:line="276"/>
      </w:pPr>
      <w:r>
        <w:rPr>
          <w:rFonts w:ascii="Times New Roman" w:cs="Times New Roman" w:eastAsia="Times New Roman" w:hAnsi="Times New Roman"/>
          <w:sz w:val="24"/>
          <w:szCs w:val="24"/>
        </w:rPr>
        <w:t xml:space="preserve">Athey, S. and Imbens, G.W. (2016) 'Recursive partitioning for heterogeneous causal effects', Proceedings of the National Academy of Sciences, 113(27), pp. 7353-7360.</w:t>
      </w:r>
    </w:p>
    <w:p>
      <w:pPr>
        <w:spacing w:after="200" w:line="276"/>
      </w:pPr>
      <w:r>
        <w:rPr>
          <w:rFonts w:ascii="Times New Roman" w:cs="Times New Roman" w:eastAsia="Times New Roman" w:hAnsi="Times New Roman"/>
          <w:sz w:val="24"/>
          <w:szCs w:val="24"/>
        </w:rPr>
        <w:t xml:space="preserve">Athey, S. and Imbens, G.W. (2017) 'The state of applied econometrics: Causality and policy evaluation', Journal of Economic Perspectives, 31(2), pp. 3-32.</w:t>
      </w:r>
    </w:p>
    <w:p>
      <w:pPr>
        <w:spacing w:after="200" w:line="276"/>
      </w:pPr>
      <w:r>
        <w:rPr>
          <w:rFonts w:ascii="Times New Roman" w:cs="Times New Roman" w:eastAsia="Times New Roman" w:hAnsi="Times New Roman"/>
          <w:sz w:val="24"/>
          <w:szCs w:val="24"/>
        </w:rPr>
        <w:t xml:space="preserve">Auer, M. and Griffiths, M.D. (2016) 'Personalised behavioural feedback for online gamblers: A real world empirical study', Frontiers in Psychology, 7, p. 1875.</w:t>
      </w:r>
    </w:p>
    <w:p>
      <w:pPr>
        <w:spacing w:after="200" w:line="276"/>
      </w:pPr>
      <w:r>
        <w:rPr>
          <w:rFonts w:ascii="Times New Roman" w:cs="Times New Roman" w:eastAsia="Times New Roman" w:hAnsi="Times New Roman"/>
          <w:sz w:val="24"/>
          <w:szCs w:val="24"/>
        </w:rPr>
        <w:t xml:space="preserve">Devriendt, F., Moldovan, D. and Verbeke, W. (2018) 'A literature survey and experimental evaluation of the state-of-the-art in uplift modelling: A stepping stone toward the development of prescriptive analytics', Big Data, 6(1), pp. 13-41.</w:t>
      </w:r>
    </w:p>
    <w:p>
      <w:pPr>
        <w:spacing w:after="200" w:line="276"/>
      </w:pPr>
      <w:r>
        <w:rPr>
          <w:rFonts w:ascii="Times New Roman" w:cs="Times New Roman" w:eastAsia="Times New Roman" w:hAnsi="Times New Roman"/>
          <w:sz w:val="24"/>
          <w:szCs w:val="24"/>
        </w:rPr>
        <w:t xml:space="preserve">Fader, P.S., Hardie, B.G.S. and Lee, K.L. (2005) 'RFM and CLV: Using iso-value curves for customer base analysis', Journal of Marketing Research, 42(4), pp. 415-430.</w:t>
      </w:r>
    </w:p>
    <w:p>
      <w:pPr>
        <w:spacing w:after="200" w:line="276"/>
      </w:pPr>
      <w:r>
        <w:rPr>
          <w:rFonts w:ascii="Times New Roman" w:cs="Times New Roman" w:eastAsia="Times New Roman" w:hAnsi="Times New Roman"/>
          <w:sz w:val="24"/>
          <w:szCs w:val="24"/>
        </w:rPr>
        <w:t xml:space="preserve">Gubela, R.M. et al. (2019) 'Conversion uplift in e-commerce: A systematic benchmark of modelling strategies', International Journal of Information Technology &amp; Decision Making, 18(3), pp. 747-791.</w:t>
      </w:r>
    </w:p>
    <w:p>
      <w:pPr>
        <w:spacing w:after="200" w:line="276"/>
      </w:pPr>
      <w:r>
        <w:rPr>
          <w:rFonts w:ascii="Times New Roman" w:cs="Times New Roman" w:eastAsia="Times New Roman" w:hAnsi="Times New Roman"/>
          <w:sz w:val="24"/>
          <w:szCs w:val="24"/>
        </w:rPr>
        <w:t xml:space="preserve">Gutierrez, P. and Gérardy, J.Y. (2017) 'Causal inference and uplift modelling: A review of the literature', Proceedings of Machine Learning Research, 67, pp. 1-13.</w:t>
      </w:r>
    </w:p>
    <w:p>
      <w:pPr>
        <w:spacing w:after="200" w:line="276"/>
      </w:pPr>
      <w:r>
        <w:rPr>
          <w:rFonts w:ascii="Times New Roman" w:cs="Times New Roman" w:eastAsia="Times New Roman" w:hAnsi="Times New Roman"/>
          <w:sz w:val="24"/>
          <w:szCs w:val="24"/>
        </w:rPr>
        <w:t xml:space="preserve">Hansotia, B. and Rukstales, B. (2002) 'Incremental value modelling', Journal of Interactive Marketing, 16(3), pp. 35-46.</w:t>
      </w:r>
    </w:p>
    <w:p>
      <w:pPr>
        <w:spacing w:after="200" w:line="276"/>
      </w:pPr>
      <w:r>
        <w:rPr>
          <w:rFonts w:ascii="Times New Roman" w:cs="Times New Roman" w:eastAsia="Times New Roman" w:hAnsi="Times New Roman"/>
          <w:sz w:val="24"/>
          <w:szCs w:val="24"/>
        </w:rPr>
        <w:t xml:space="preserve">Hitsch, G.J. and Misra, S. (2024) 'Heterogeneous treatment effects and optimal targeting policy evaluation', Quantitative Marketing and Economics, 22(2), pp. 115-168.</w:t>
      </w:r>
    </w:p>
    <w:p>
      <w:pPr>
        <w:spacing w:after="200" w:line="276"/>
      </w:pPr>
      <w:r>
        <w:rPr>
          <w:rFonts w:ascii="Times New Roman" w:cs="Times New Roman" w:eastAsia="Times New Roman" w:hAnsi="Times New Roman"/>
          <w:sz w:val="24"/>
          <w:szCs w:val="24"/>
        </w:rPr>
        <w:t xml:space="preserve">Holland, P.W. (1986) 'Statistics and causal inference', Journal of the American Statistical Association, 81(396), pp. 945-960.</w:t>
      </w:r>
    </w:p>
    <w:p>
      <w:pPr>
        <w:spacing w:after="200" w:line="276"/>
      </w:pPr>
      <w:r>
        <w:rPr>
          <w:rFonts w:ascii="Times New Roman" w:cs="Times New Roman" w:eastAsia="Times New Roman" w:hAnsi="Times New Roman"/>
          <w:sz w:val="24"/>
          <w:szCs w:val="24"/>
        </w:rPr>
        <w:t xml:space="preserve">Haupt, J. and Lessmann, S. (2022) 'Targeting customers under response-dependent costs', European Journal of Operational Research, 297(1), pp. 369-379.</w:t>
      </w:r>
    </w:p>
    <w:p>
      <w:pPr>
        <w:spacing w:after="200" w:line="276"/>
      </w:pPr>
      <w:r>
        <w:rPr>
          <w:rFonts w:ascii="Times New Roman" w:cs="Times New Roman" w:eastAsia="Times New Roman" w:hAnsi="Times New Roman"/>
          <w:sz w:val="24"/>
          <w:szCs w:val="24"/>
        </w:rPr>
        <w:t xml:space="preserve">Jonsson, J. et al. (2020) 'Reaching out to big losers leads to sustained reductions in gambling over 1 year: A randomised controlled trial of brief motivational contact', Addiction, 115(8), pp. 1522-1531.</w:t>
      </w:r>
    </w:p>
    <w:p>
      <w:pPr>
        <w:spacing w:after="200" w:line="276"/>
      </w:pPr>
      <w:r>
        <w:rPr>
          <w:rFonts w:ascii="Times New Roman" w:cs="Times New Roman" w:eastAsia="Times New Roman" w:hAnsi="Times New Roman"/>
          <w:sz w:val="24"/>
          <w:szCs w:val="24"/>
        </w:rPr>
        <w:t xml:space="preserve">Kane, K., Lo, V.S. and Zheng, J. (2014) 'Mining for the truly responsive customers and prospects using true-lift modelling: Comparison of new and existing methods', Journal of Marketing Analytics, 2(4), pp. 218-238.</w:t>
      </w:r>
    </w:p>
    <w:p>
      <w:pPr>
        <w:spacing w:after="200" w:line="276"/>
      </w:pPr>
      <w:r>
        <w:rPr>
          <w:rFonts w:ascii="Times New Roman" w:cs="Times New Roman" w:eastAsia="Times New Roman" w:hAnsi="Times New Roman"/>
          <w:sz w:val="24"/>
          <w:szCs w:val="24"/>
        </w:rPr>
        <w:t xml:space="preserve">Kohavi, R., Tang, D. and Xu, Y. (2020) Trustworthy online controlled experiments: A practical guide to A/B testing. Cambridge: Cambridge University Press.</w:t>
      </w:r>
    </w:p>
    <w:p>
      <w:pPr>
        <w:spacing w:after="200" w:line="276"/>
      </w:pPr>
      <w:r>
        <w:rPr>
          <w:rFonts w:ascii="Times New Roman" w:cs="Times New Roman" w:eastAsia="Times New Roman" w:hAnsi="Times New Roman"/>
          <w:sz w:val="24"/>
          <w:szCs w:val="24"/>
        </w:rPr>
        <w:t xml:space="preserve">Kuhn, M. and Johnson, K. (2013) Applied predictive modelling. New York: Springer.</w:t>
      </w:r>
    </w:p>
    <w:p>
      <w:pPr>
        <w:spacing w:after="200" w:line="276"/>
      </w:pPr>
      <w:r>
        <w:rPr>
          <w:rFonts w:ascii="Times New Roman" w:cs="Times New Roman" w:eastAsia="Times New Roman" w:hAnsi="Times New Roman"/>
          <w:sz w:val="24"/>
          <w:szCs w:val="24"/>
        </w:rPr>
        <w:t xml:space="preserve">Kumar, V., Bhagwat, Y. and Zhang, X. (2015) 'Regaining lost customers: The predictive power of first-lifetime behaviour, the reason for defection, and the nature of the win-back offer', Journal of Marketing, 79(4), pp. 34-55.</w:t>
      </w:r>
    </w:p>
    <w:p>
      <w:pPr>
        <w:spacing w:after="200" w:line="276"/>
      </w:pPr>
      <w:r>
        <w:rPr>
          <w:rFonts w:ascii="Times New Roman" w:cs="Times New Roman" w:eastAsia="Times New Roman" w:hAnsi="Times New Roman"/>
          <w:sz w:val="24"/>
          <w:szCs w:val="24"/>
        </w:rPr>
        <w:t xml:space="preserve">Kumar, V. and Reinartz, W. (2018) Customer relationship management: Concept, strategy, and tools. 3rd edn. Berlin: Springer.</w:t>
      </w:r>
    </w:p>
    <w:p>
      <w:pPr>
        <w:spacing w:after="200" w:line="276"/>
      </w:pPr>
      <w:r>
        <w:rPr>
          <w:rFonts w:ascii="Times New Roman" w:cs="Times New Roman" w:eastAsia="Times New Roman" w:hAnsi="Times New Roman"/>
          <w:sz w:val="24"/>
          <w:szCs w:val="24"/>
        </w:rPr>
        <w:t xml:space="preserve">Künzel, S.R. et al. (2019) 'Metalearners for estimating heterogeneous treatment effects using machine learning', Proceedings of the National Academy of Sciences, 116(10), pp. 4156-4165.</w:t>
      </w:r>
    </w:p>
    <w:p>
      <w:pPr>
        <w:spacing w:after="200" w:line="276"/>
      </w:pPr>
      <w:r>
        <w:rPr>
          <w:rFonts w:ascii="Times New Roman" w:cs="Times New Roman" w:eastAsia="Times New Roman" w:hAnsi="Times New Roman"/>
          <w:sz w:val="24"/>
          <w:szCs w:val="24"/>
        </w:rPr>
        <w:t xml:space="preserve">Lemmens, A. and Gupta, S. (2020) 'Managing churn to maximise profits', Marketing Science, 39(5), pp. 956-973.</w:t>
      </w:r>
    </w:p>
    <w:p>
      <w:pPr>
        <w:spacing w:after="200" w:line="276"/>
      </w:pPr>
      <w:r>
        <w:rPr>
          <w:rFonts w:ascii="Times New Roman" w:cs="Times New Roman" w:eastAsia="Times New Roman" w:hAnsi="Times New Roman"/>
          <w:sz w:val="24"/>
          <w:szCs w:val="24"/>
        </w:rPr>
        <w:t xml:space="preserve">Lo, V.S. (2002) 'The true lift model: A novel data mining approach to response modelling in database marketing', ACM SIGKDD Explorations Newsletter, 4(2), pp. 78-86.</w:t>
      </w:r>
    </w:p>
    <w:p>
      <w:pPr>
        <w:spacing w:after="200" w:line="276"/>
      </w:pPr>
      <w:r>
        <w:rPr>
          <w:rFonts w:ascii="Times New Roman" w:cs="Times New Roman" w:eastAsia="Times New Roman" w:hAnsi="Times New Roman"/>
          <w:sz w:val="24"/>
          <w:szCs w:val="24"/>
        </w:rPr>
        <w:t xml:space="preserve">Neslin, S.A. et al. (2006) 'Defection detection: Measuring and understanding the predictive accuracy of customer churn models', Journal of Marketing Research, 43(2), pp. 204-211.</w:t>
      </w:r>
    </w:p>
    <w:p>
      <w:pPr>
        <w:spacing w:after="200" w:line="276"/>
      </w:pPr>
      <w:r>
        <w:rPr>
          <w:rFonts w:ascii="Times New Roman" w:cs="Times New Roman" w:eastAsia="Times New Roman" w:hAnsi="Times New Roman"/>
          <w:sz w:val="24"/>
          <w:szCs w:val="24"/>
        </w:rPr>
        <w:t xml:space="preserve">Olaya, D., Coussement, K. and Verbeke, W. (2020) 'A survey and benchmarking study of multitreatment uplift modelling', Data Mining and Knowledge Discovery, 34(2), pp. 273-308.</w:t>
      </w:r>
    </w:p>
    <w:p>
      <w:pPr>
        <w:spacing w:after="200" w:line="276"/>
      </w:pPr>
      <w:r>
        <w:rPr>
          <w:rFonts w:ascii="Times New Roman" w:cs="Times New Roman" w:eastAsia="Times New Roman" w:hAnsi="Times New Roman"/>
          <w:sz w:val="24"/>
          <w:szCs w:val="24"/>
        </w:rPr>
        <w:t xml:space="preserve">Radcliffe, N.J. (2007) 'Using control groups to target on predicted lift: Building and assessing uplift models', Direct Marketing Analytics Journal, 1, pp. 14-21.</w:t>
      </w:r>
    </w:p>
    <w:p>
      <w:pPr>
        <w:spacing w:after="200" w:line="276"/>
      </w:pPr>
      <w:r>
        <w:rPr>
          <w:rFonts w:ascii="Times New Roman" w:cs="Times New Roman" w:eastAsia="Times New Roman" w:hAnsi="Times New Roman"/>
          <w:sz w:val="24"/>
          <w:szCs w:val="24"/>
        </w:rPr>
        <w:t xml:space="preserve">Radcliffe, N.J. and Surry, P.D. (2011) 'Real-world uplift modelling with significance-based uplift trees', White Paper TR-2011-1, Stochastic Solutions.</w:t>
      </w:r>
    </w:p>
    <w:p>
      <w:pPr>
        <w:spacing w:after="200" w:line="276"/>
      </w:pPr>
      <w:r>
        <w:rPr>
          <w:rFonts w:ascii="Times New Roman" w:cs="Times New Roman" w:eastAsia="Times New Roman" w:hAnsi="Times New Roman"/>
          <w:sz w:val="24"/>
          <w:szCs w:val="24"/>
        </w:rPr>
        <w:t xml:space="preserve">Reichheld, F.F. and Sasser, W.E. (1990) 'Zero defections: Quality comes to services', Harvard Business Review, 68(5), pp. 105-111.</w:t>
      </w:r>
    </w:p>
    <w:p>
      <w:pPr>
        <w:spacing w:after="200" w:line="276"/>
      </w:pPr>
      <w:r>
        <w:rPr>
          <w:rFonts w:ascii="Times New Roman" w:cs="Times New Roman" w:eastAsia="Times New Roman" w:hAnsi="Times New Roman"/>
          <w:sz w:val="24"/>
          <w:szCs w:val="24"/>
        </w:rPr>
        <w:t xml:space="preserve">Rubin, D.B. (1974) 'Estimating causal effects of treatments in randomised and nonrandomised studies', Journal of Educational Psychology, 66(5), pp. 688-701.</w:t>
      </w:r>
    </w:p>
    <w:p>
      <w:pPr>
        <w:spacing w:after="200" w:line="276"/>
      </w:pPr>
      <w:r>
        <w:rPr>
          <w:rFonts w:ascii="Times New Roman" w:cs="Times New Roman" w:eastAsia="Times New Roman" w:hAnsi="Times New Roman"/>
          <w:sz w:val="24"/>
          <w:szCs w:val="24"/>
        </w:rPr>
        <w:t xml:space="preserve">Rubin, D.B. (1980) 'Randomisation analysis of experimental data: The Fisher randomisation test comment', Journal of the American Statistical Association, 75(371), pp. 591-593.</w:t>
      </w:r>
    </w:p>
    <w:p>
      <w:pPr>
        <w:spacing w:after="200" w:line="276"/>
      </w:pPr>
      <w:r>
        <w:rPr>
          <w:rFonts w:ascii="Times New Roman" w:cs="Times New Roman" w:eastAsia="Times New Roman" w:hAnsi="Times New Roman"/>
          <w:sz w:val="24"/>
          <w:szCs w:val="24"/>
        </w:rPr>
        <w:t xml:space="preserve">Rubin, D.B. (2005) 'Causal inference using potential outcomes: Design, modelling, decisions', Journal of the American Statistical Association, 100(469), pp. 322-331.</w:t>
      </w:r>
    </w:p>
    <w:p>
      <w:pPr>
        <w:spacing w:after="200" w:line="276"/>
      </w:pPr>
      <w:r>
        <w:rPr>
          <w:rFonts w:ascii="Times New Roman" w:cs="Times New Roman" w:eastAsia="Times New Roman" w:hAnsi="Times New Roman"/>
          <w:sz w:val="24"/>
          <w:szCs w:val="24"/>
        </w:rPr>
        <w:t xml:space="preserve">Rzepakowski, P. and Jaroszewicz, S. (2012) 'Decision trees for uplift modelling with single and multiple treatments', Knowledge and Information Systems, 32(2), pp. 303-327.</w:t>
      </w:r>
    </w:p>
    <w:p>
      <w:pPr>
        <w:spacing w:after="200" w:line="276"/>
      </w:pPr>
      <w:r>
        <w:rPr>
          <w:rFonts w:ascii="Times New Roman" w:cs="Times New Roman" w:eastAsia="Times New Roman" w:hAnsi="Times New Roman"/>
          <w:sz w:val="24"/>
          <w:szCs w:val="24"/>
        </w:rPr>
        <w:t xml:space="preserve">Sculley, D. et al. (2015) 'Hidden technical debt in machine learning systems', Advances in Neural Information Processing Systems, 28, pp. 2503-2511.</w:t>
      </w:r>
    </w:p>
    <w:p>
      <w:pPr>
        <w:spacing w:after="200" w:line="276"/>
      </w:pPr>
      <w:r>
        <w:rPr>
          <w:rFonts w:ascii="Times New Roman" w:cs="Times New Roman" w:eastAsia="Times New Roman" w:hAnsi="Times New Roman"/>
          <w:sz w:val="24"/>
          <w:szCs w:val="24"/>
        </w:rPr>
        <w:t xml:space="preserve">Simester, D.I., Sun, P. and Tsitsiklis, J.N. (2006) 'Dynamic catalog mailing policies', Management Science, 52(5), pp. 683-696.</w:t>
      </w:r>
    </w:p>
    <w:p>
      <w:pPr>
        <w:spacing w:after="200" w:line="276"/>
      </w:pPr>
      <w:r>
        <w:rPr>
          <w:rFonts w:ascii="Times New Roman" w:cs="Times New Roman" w:eastAsia="Times New Roman" w:hAnsi="Times New Roman"/>
          <w:sz w:val="24"/>
          <w:szCs w:val="24"/>
        </w:rPr>
        <w:t xml:space="preserve">Sutton, R.S. and Barto, A.G. (2018) Reinforcement learning: An introduction. 2nd edn. Cambridge, MA: MIT Press.</w:t>
      </w:r>
    </w:p>
    <w:p>
      <w:pPr>
        <w:spacing w:after="200" w:line="276"/>
      </w:pPr>
      <w:r>
        <w:rPr>
          <w:rFonts w:ascii="Times New Roman" w:cs="Times New Roman" w:eastAsia="Times New Roman" w:hAnsi="Times New Roman"/>
          <w:sz w:val="24"/>
          <w:szCs w:val="24"/>
        </w:rPr>
        <w:t xml:space="preserve">Verbeke, W. et al. (2012) 'New insights into churn prediction in the telecommunication sector: A profit driven data mining approach', European Journal of Operational Research, 218(1), pp. 211-229.</w:t>
      </w:r>
    </w:p>
    <w:p>
      <w:pPr>
        <w:spacing w:after="200" w:line="276"/>
      </w:pPr>
      <w:r>
        <w:rPr>
          <w:rFonts w:ascii="Times New Roman" w:cs="Times New Roman" w:eastAsia="Times New Roman" w:hAnsi="Times New Roman"/>
          <w:sz w:val="24"/>
          <w:szCs w:val="24"/>
        </w:rPr>
        <w:t xml:space="preserve">Verbeke, W. et al. (2023) 'To do or not to do? Cost-sensitive causal classification with individual treatment effect estimates', European Journal of Operational Research, 305(2), pp. 838-852.</w:t>
      </w:r>
    </w:p>
    <w:p>
      <w:pPr>
        <w:spacing w:after="200" w:line="276"/>
      </w:pPr>
      <w:r>
        <w:rPr>
          <w:rFonts w:ascii="Times New Roman" w:cs="Times New Roman" w:eastAsia="Times New Roman" w:hAnsi="Times New Roman"/>
          <w:sz w:val="24"/>
          <w:szCs w:val="24"/>
        </w:rPr>
        <w:t xml:space="preserve">Wager, S. and Athey, S. (2018) 'Estimation and inference of heterogeneous treatment effects using random forests', Journal of the American Statistical Association, 113(523), pp. 1228-1242.</w:t>
      </w:r>
    </w:p>
    <w:p>
      <w:pPr>
        <w:spacing w:after="200" w:line="276"/>
      </w:pPr>
      <w:r>
        <w:rPr>
          <w:rFonts w:ascii="Times New Roman" w:cs="Times New Roman" w:eastAsia="Times New Roman" w:hAnsi="Times New Roman"/>
          <w:sz w:val="24"/>
          <w:szCs w:val="24"/>
        </w:rPr>
        <w:t xml:space="preserve">Zaniewicz, L. and Jaroszewicz, S. (2013) 'Support vector machines for uplift modelling', IEEE International Conference on Data Mining Workshops, pp. 131-138.</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ML-Driven Player Bonus Optimisation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0730305abcd4dd58530e5d4a7d443ea52329c28.png"/><Relationship Id="rId9" Type="http://schemas.openxmlformats.org/officeDocument/2006/relationships/image" Target="media/73ce623d78b63371b5ec5e797bd41f2180e91824.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2026-01-09T15:42:55.472Z</dcterms:created>
  <dcterms:modified xsi:type="dcterms:W3CDTF">2026-01-09T15:42:55.473Z</dcterms:modified>
</cp:coreProperties>
</file>

<file path=docProps/custom.xml><?xml version="1.0" encoding="utf-8"?>
<Properties xmlns="http://schemas.openxmlformats.org/officeDocument/2006/custom-properties" xmlns:vt="http://schemas.openxmlformats.org/officeDocument/2006/docPropsVTypes"/>
</file>