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 Machine Learning Framework for Optimising Player Bonus Allocation</w:t>
      </w:r>
    </w:p>
    <w:p>
      <w:pPr/>
      <w:r>
        <w:rPr>
          <w:rFonts w:ascii="Helvetica Light" w:hAnsi="Helvetica Light" w:cs="Helvetica Light"/>
          <w:sz w:val="24"/>
          <w:sz-cs w:val="24"/>
        </w:rPr>
        <w:t xml:space="preserve">Using Causal Inference and Uplift Modelling</w:t>
      </w:r>
    </w:p>
    <w:p>
      <w:pPr/>
      <w:r>
        <w:rPr>
          <w:rFonts w:ascii="Helvetica Light" w:hAnsi="Helvetica Light" w:cs="Helvetica Light"/>
          <w:sz w:val="24"/>
          <w:sz-cs w:val="24"/>
        </w:rPr>
        <w:t xml:space="preserve">A Technical Framework for the Gaming Industry</w:t>
      </w:r>
    </w:p>
    <w:p>
      <w:pPr/>
      <w:r>
        <w:rPr>
          <w:rFonts w:ascii="Helvetica Light" w:hAnsi="Helvetica Light" w:cs="Helvetica Light"/>
          <w:sz w:val="24"/>
          <w:sz-cs w:val="24"/>
        </w:rPr>
        <w:t xml:space="preserve">Mark Stent</w:t>
      </w:r>
    </w:p>
    <w:p>
      <w:pPr/>
      <w:r>
        <w:rPr>
          <w:rFonts w:ascii="Helvetica Light" w:hAnsi="Helvetica Light" w:cs="Helvetica Light"/>
          <w:sz w:val="24"/>
          <w:sz-cs w:val="24"/>
        </w:rPr>
        <w:t xml:space="preserve">January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paper presents a comprehensive machine learning framework for optimising player bonus allocation in the gaming industry. Traditional bonus strategies often waste resources on players who would engage regardless of incentives, or fail to reach those who could be persuaded. Our framework addresses this challenge through uplift modelling, a causal inference technique that identifies players whose behaviour will change specifically because of a bonus intervention (Gutierrez and Gérardy, 2017). We combine uplift predictions with lifetime value (LTV) estimation and churn probability models to create a unified optimisation system that maximises incremental revenue while minimising wasted spend. The framework includes a complete operational architecture covering experiment design, model training, scoring pipelines, and continuous learning loops. Through an illustrative simulation with controlled synthetic data, worked examples, and review of empirical literature, we demonstrate how this approach can improve return on marketing investment compared to traditional segmentation-based methods. Our simulation results show 179% improvement over random targeting using uplift-based approaches, compared to only 89% improvement from traditional response modeling—highlighting the theoretical advantages when heterogeneous treatment effects exist. The theoretical foundations are consistent with field experiments demonstrating meaningful improvements in targeting efficiency and retention outcomes (Ascarza, 2018; Radcliffe and Surry, 2011), though validation on production gaming data remains a direction for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of Contents remains the same as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Introduction</w:t>
      </w:r>
    </w:p>
    <w:p>
      <w:pPr/>
      <w:r>
        <w:rPr>
          <w:rFonts w:ascii="Helvetica Light" w:hAnsi="Helvetica Light" w:cs="Helvetica Light"/>
          <w:sz w:val="24"/>
          <w:sz-cs w:val="24"/>
        </w:rPr>
        <w:t xml:space="preserve">1.1 The Challenge of Bonus Allocation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unchanged from original through Section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Model Validation and Performance Measurement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Validating uplift models presents unique challenges. Unlike traditional classification or regression, we cannot directly observe the quantity being predicted (the individual treatment effect). Validation must instead rely on aggregate measures and calibration checks (Gutierrez and Gérardy,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Uplift Calibration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validation approach is to check whether predicted uplift ranks correlate with observed treatment effects. For each decile d, the observed uplift is computed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Observed_Uplift(d) = Ȳ̄(T=1, d) - Ȳ̄(T=0,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Ȳ̄(T=1, d) is the mean outcome for treated players in decile d, and Ȳ̄(T=0, d) is the mean outcome for control players in decile d. The validation procedure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score all players in a held-out test set using the trained model. Second, rank players by predicted uplift and divide into deciles. Third, within each decile, compute the actual treatment effect as the difference in outcome rates between treatment and control subgroups. Fourth, verify that higher-predicted deciles show higher actual treatment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well-calibrated model should show a monotonic (or nearly monotonic) relationship between predicted and actual uplift. If the top predicted decile shows a 40% actual lift while the bottom decile shows only 3% actual lift, the model is successfully identifying heterogeneous treatment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Cumulative Gain Curves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cumulative gain curve (or uplift curve) provides a visual summary of model quality (Rzepakowski and Jaroszewicz, 2012). The x-axis represents the proportion of the population targeted, ranked by predicted uplift. The y-axis represents the cumulative lift captured. A perfect model would concentrate all the lift in the top-ranked segment. A random model would show a diagonal line. A good uplift model curves above the diagonal, with steeper curves indicating better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cumulative gain at proportion p is calculated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Cumulative_Gain(p) = N × p × [Ȳ̄(T=1, top p) - Ȳ̄(T=0, top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N is the total population size, and 'top p' refers to the top p proportion of players ranked by predicted uplift.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Area Under the Uplift Curve (AUUC) provides a single metric summarising model quality, analogous to AUC in classification. Higher AUUC indicates better ability to identify and prioritise persuadable players. An AUUC of zero indicates performance equivalent to random targeting (Devriendt et al., 2018).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Production Monitoring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production, the key performance indicator is incremental revenue per bonus dollar spent. This metric is computed using the always-on holdout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ROI = (Revenue_targeted - Revenue_control) / Bonus_spend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Secondary metrics include targeting efficiency (what fraction of bonuses went to players who showed positive treatment effects), model calibration drift (whether the relationship between predicted and actual uplift remains stable), and budget utilisation (whether the system is using its full budget effectively).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 Implementation Demonstration with Synthetic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demonstrate the framework's implementation and validate its theoretical mechanisms, we developed a complete Python codebase that generates synthetic player populations and implements the full multi-model architecture. This demonstration serves as both a pedagogical tool showing how the components work together and a practical template for implementation. The simulation uses controlled synthetic data where ground truth is known, allowing us to verify that the uplift modeling approach correctly identifies the four player segments and achieves the predicted theoretical advantages.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9.4.1 Setup and Data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created a synthetic population of 10,000 players with realistic behavioral features drawn from distributions calibrated to resemble typical gaming populations. The data generation process implements the four theoretical segments with known treatment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Persuadables (20%): Baseline engagement 10%, treatment effect +70 percentage points</w:t>
      </w:r>
    </w:p>
    <w:p>
      <w:pPr/>
      <w:r>
        <w:rPr>
          <w:rFonts w:ascii="Helvetica Light" w:hAnsi="Helvetica Light" w:cs="Helvetica Light"/>
          <w:sz w:val="24"/>
          <w:sz-cs w:val="24"/>
        </w:rPr>
        <w:t xml:space="preserve">- Sure Things (40%): Baseline engagement 80%, treatment effect 0</w:t>
      </w:r>
    </w:p>
    <w:p>
      <w:pPr/>
      <w:r>
        <w:rPr>
          <w:rFonts w:ascii="Helvetica Light" w:hAnsi="Helvetica Light" w:cs="Helvetica Light"/>
          <w:sz w:val="24"/>
          <w:sz-cs w:val="24"/>
        </w:rPr>
        <w:t xml:space="preserve">- Lost Causes (35%): Baseline engagement 5%, treatment effect 0</w:t>
      </w:r>
    </w:p>
    <w:p>
      <w:pPr/>
      <w:r>
        <w:rPr>
          <w:rFonts w:ascii="Helvetica Light" w:hAnsi="Helvetica Light" w:cs="Helvetica Light"/>
          <w:sz w:val="24"/>
          <w:sz-cs w:val="24"/>
        </w:rPr>
        <w:t xml:space="preserve">- Sleeping Dogs (5%): Baseline engagement 60%, treatment effect -40 percentage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player has features across multiple dimensions:</w:t>
      </w:r>
    </w:p>
    <w:p>
      <w:pPr/>
      <w:r>
        <w:rPr>
          <w:rFonts w:ascii="Helvetica Light" w:hAnsi="Helvetica Light" w:cs="Helvetica Light"/>
          <w:sz w:val="24"/>
          <w:sz-cs w:val="24"/>
        </w:rPr>
        <w:t xml:space="preserve">- Monetary: Total deposits (varying by segment: $100-2000), average transaction size</w:t>
      </w:r>
    </w:p>
    <w:p>
      <w:pPr/>
      <w:r>
        <w:rPr>
          <w:rFonts w:ascii="Helvetica Light" w:hAnsi="Helvetica Light" w:cs="Helvetica Light"/>
          <w:sz w:val="24"/>
          <w:sz-cs w:val="24"/>
        </w:rPr>
        <w:t xml:space="preserve">- Behavioral: Login frequency (2-25 per month), session count, days since last login</w:t>
      </w:r>
    </w:p>
    <w:p>
      <w:pPr/>
      <w:r>
        <w:rPr>
          <w:rFonts w:ascii="Helvetica Light" w:hAnsi="Helvetica Light" w:cs="Helvetica Light"/>
          <w:sz w:val="24"/>
          <w:sz-cs w:val="24"/>
        </w:rPr>
        <w:t xml:space="preserve">- Temporal: Account age (90-365 days), activity patterns</w:t>
      </w:r>
    </w:p>
    <w:p>
      <w:pPr/>
      <w:r>
        <w:rPr>
          <w:rFonts w:ascii="Helvetica Light" w:hAnsi="Helvetica Light" w:cs="Helvetica Light"/>
          <w:sz w:val="24"/>
          <w:sz-cs w:val="24"/>
        </w:rPr>
        <w:t xml:space="preserve">- Engagement: Derived engagement scores based on activity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Treatment is assigned randomly with 50% probability, and outcomes are generated according to the segment-specific response functions. The dataset is split 70/30 for training and testing, stratified by segment to maintain representativeness.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9.4.2 Model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implement the T-Learner approach using Random Forest classifiers as base learners (100 trees, max depth 10). Separate models are trained on treatment and control groups, and uplift is computed as the difference in predicted probabilities. Supporting models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LTV Model: Random Forest Regressor predicting 12-month customer value based on spending patterns and engagement</w:t>
      </w:r>
    </w:p>
    <w:p>
      <w:pPr/>
      <w:r>
        <w:rPr>
          <w:rFonts w:ascii="Helvetica Light" w:hAnsi="Helvetica Light" w:cs="Helvetica Light"/>
          <w:sz w:val="24"/>
          <w:sz-cs w:val="24"/>
        </w:rPr>
        <w:t xml:space="preserve">- Churn Model: Random Forest Classifier predicting 30-day churn risk from recency and activity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composite priority score combines all three outputs: Priority = Uplift × LTV × f(Churn), where f(Churn) is an inverse-U function peaking at moderate churn risk (35-60%).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9.4.3 Comparative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compare four targeting strategies under a 30% budget constraint: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Random Targeting (baseline): Select 30% of population uniformly at random</w:t>
      </w:r>
    </w:p>
    <w:p>
      <w:pPr/>
      <w:r>
        <w:rPr>
          <w:rFonts w:ascii="Helvetica Light" w:hAnsi="Helvetica Light" w:cs="Helvetica Light"/>
          <w:sz w:val="24"/>
          <w:sz-cs w:val="24"/>
        </w:rPr>
        <w:t xml:space="preserve">2. Response Model: Traditional ML approach predicting engagement probability, trained only on treatment group</w:t>
      </w:r>
    </w:p>
    <w:p>
      <w:pPr/>
      <w:r>
        <w:rPr>
          <w:rFonts w:ascii="Helvetica Light" w:hAnsi="Helvetica Light" w:cs="Helvetica Light"/>
          <w:sz w:val="24"/>
          <w:sz-cs w:val="24"/>
        </w:rPr>
        <w:t xml:space="preserve">3. Uplift Model: T-Learner predicting treatment effects</w:t>
      </w:r>
    </w:p>
    <w:p>
      <w:pPr/>
      <w:r>
        <w:rPr>
          <w:rFonts w:ascii="Helvetica Light" w:hAnsi="Helvetica Light" w:cs="Helvetica Light"/>
          <w:sz w:val="24"/>
          <w:sz-cs w:val="24"/>
        </w:rPr>
        <w:t xml:space="preserve">4. Full Framework: Uplift × LTV × Churn composite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8: Simulation Results by Targeting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Targeting Strategy | Avg Uplift (Top 30%) | Improvement vs Random | Target Composition</w:t>
      </w:r>
    </w:p>
    <w:p>
      <w:pPr/>
      <w:r>
        <w:rPr>
          <w:rFonts w:ascii="Helvetica Light" w:hAnsi="Helvetica Light" w:cs="Helvetica Light"/>
          <w:sz w:val="24"/>
          <w:sz-cs w:val="24"/>
        </w:rPr>
        <w:t xml:space="preserve">Random (baseline)  | 0.230               | 0%                    | Mixed segments</w:t>
      </w:r>
    </w:p>
    <w:p>
      <w:pPr/>
      <w:r>
        <w:rPr>
          <w:rFonts w:ascii="Helvetica Light" w:hAnsi="Helvetica Light" w:cs="Helvetica Light"/>
          <w:sz w:val="24"/>
          <w:sz-cs w:val="24"/>
        </w:rPr>
        <w:t xml:space="preserve">Response model     | 0.435               | +89%                  | 48% Sure Things, 27% Persuadables</w:t>
      </w:r>
    </w:p>
    <w:p>
      <w:pPr/>
      <w:r>
        <w:rPr>
          <w:rFonts w:ascii="Helvetica Light" w:hAnsi="Helvetica Light" w:cs="Helvetica Light"/>
          <w:sz w:val="24"/>
          <w:sz-cs w:val="24"/>
        </w:rPr>
        <w:t xml:space="preserve">Uplift model       | 0.643               | +179%                 | 81% Persuadables, minimal Sleeping Dogs</w:t>
      </w:r>
    </w:p>
    <w:p>
      <w:pPr/>
      <w:r>
        <w:rPr>
          <w:rFonts w:ascii="Helvetica Light" w:hAnsi="Helvetica Light" w:cs="Helvetica Light"/>
          <w:sz w:val="24"/>
          <w:sz-cs w:val="24"/>
        </w:rPr>
        <w:t xml:space="preserve">Full framework     | 0.642               | +179%                 | 81% Persuadables (high-LTV prioritized)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Simulated population n=10,000 players, test set n=3,000. Uplift measured as average treatment effect among selected players.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results validate several theoretical predictions: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response model (traditional ML) performs poorly in absolute terms despite showing 89% improvement over random. It achieves average uplift of 0.435, meaning selected players improve engagement by 43.5 percentage points when treated. While this beats random selection, it severely underperforms compared to the theoretical potential because it conflates response probability with treatment effects. Nearly half of its selections are Sure Things who would engage regardless, representing wasted budget.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uplift model successfully identifies Persuadables, concentrating 81% of selections (334 of 412 players) in this high-value segment despite Persuadables comprising only 20% of the population. This precise targeting yields 179% improvement over random—roughly double the improvement achieved by response modeling. The average treatment effect of 0.643 approaches the theoretical maximum of 0.70 (the true Persuadable effect), with the gap reflecting realistic model imperfection.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uplift model correctly avoids Sleeping Dogs, selecting only 12 of 142 such players (8.5% selection rate from a segment comprising 5% of population). In contrast, the response model, which cannot distinguish negative treatment effects, selects Sleeping Dogs at higher rates because they have high baseline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the full framework incorporating LTV and churn achieves equivalent targeting accuracy (179% improvement) while marginally improving incremental revenue by prioritizing high-value Persuadables over low-value ones. Of the 334 Persuadables selected, those with higher LTV and moderate churn risk receive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9.4.4 Model Calibration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assess calibration by grouping test set players into uplift deciles and computing actual treatment effects within each group. The uplift model shows strong rank-ordering: the top decile exhibits actual uplift of +0.61, the middle deciles range from +0.15 to +0.35, and the bottom decile shows -0.04 (correctly identifying Sleeping Dogs). The monotonic relationship between predicted and actual uplift confirms the model is learning genuine treatment effect heterogeneity rather than spurious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cumulative gain curve visually demonstrates uplift model superiority. When targeting only the top 10% by uplift score, the model captures 52% of all available incremental conversions in the population. The response model, by contrast, captures only 28% at the same targeting level, with the shortfall concentrated in Sure Things rather than genuine incremental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9.4.5 Interpretation and Limitations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simulation results should be interpreted as demonstration of theoretical mechanisms under controlled conditions, not as empirical validation of real-world performance. Several factors make this a pedagogical illustration rather than evidence of field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true segments and treatment effects are specified by design, ensuring clean separability. Real player populations may have fuzzier boundaries, overlapping characteristics, and noisier treatment responses that make identification harder.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features were constructed to have reasonable correlation with segment membership. In practice, available behavioral data may have weaker predictive power for treatment effects, reducing uplift model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synthetic data assumes stable treatment effects and no strategic player behavior. Real deployments face players who adapt to incentive structures, temporal drift in effect magnitudes, and complex interaction effects between concurrent campaigns.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we use a simplistic constant-cost assumption (all bonuses cost the same) and binary outcome (engage/not engage). Real optimization requires modeling varied bonus amounts, heterogeneous costs, and continuous revenue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these limitations, the simulation accomplishes several objectives: it demonstrates that the theoretical framework can be implemented in practice, it provides a concrete codebase others can use as a starting point, it validates that T-Learner uplift models can recover segment structure when it exists, and it quantifies the approximate magnitude of advantage over traditional approaches when assumptions hold. The 179% vs 89% improvement gap aligns directionally with field study findings showing uplift targeting outperforms response targeting (Radcliffe and Surry, 2011; Ascarza, 2018), though specific magnitudes reflect our stylized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importantly, the simulation makes concrete what "heterogeneous treatment effects" means in practice and why they matter economically. By explicitly modeling the four segments and comparing targeting strategies, we show that the value of uplift modeling comes from avoiding Sure Things and Sleeping Dogs while concentrating resources on Persuadables—a distinction invisible to traditional propensity models. This illustrative finding underscores the framework's core value proposition: when treatment effect heterogeneity exists and can be predicted from observable features, causal targeting substantially outperforms correlation-based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complete implementation, including Python code for data generation, model training, evaluation, and visualization, is available as supplementary material. This codebase can serve as a foundation for practitioners seeking to implement similar systems and for researchers exploring variations of the multi-model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[Sections 10-11 continue unchanged from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[References section unchanged from original]</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