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bookmarkStart w:name="_Hlk536094770" w:id="0"/>
    <w:bookmarkStart w:name="_Toc514925894" w:id="1"/>
    <w:bookmarkStart w:name="_Hlk522174988" w:id="2"/>
    <w:bookmarkEnd w:id="0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2743E6" w14:paraId="5D017B53" w14:textId="6D1C4B34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Canceling </w:t>
                            </w:r>
                            <w:r w:rsidR="00480193">
                              <w:rPr>
                                <w:i/>
                                <w:sz w:val="32"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Deploying </w:t>
                            </w:r>
                            <w:r w:rsidR="00480193">
                              <w:rPr>
                                <w:i/>
                                <w:sz w:val="32"/>
                              </w:rPr>
                              <w:t>Deployments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on OSE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2743E6" w14:paraId="5D017B53" w14:textId="6D1C4B34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Canceling </w:t>
                      </w:r>
                      <w:r w:rsidR="00480193">
                        <w:rPr>
                          <w:i/>
                          <w:sz w:val="32"/>
                        </w:rPr>
                        <w:t xml:space="preserve">or </w:t>
                      </w:r>
                      <w:r>
                        <w:rPr>
                          <w:i/>
                          <w:sz w:val="32"/>
                        </w:rPr>
                        <w:t xml:space="preserve">Deploying </w:t>
                      </w:r>
                      <w:r w:rsidR="00480193">
                        <w:rPr>
                          <w:i/>
                          <w:sz w:val="32"/>
                        </w:rPr>
                        <w:t>Deployments</w:t>
                      </w:r>
                      <w:r>
                        <w:rPr>
                          <w:i/>
                          <w:sz w:val="32"/>
                        </w:rPr>
                        <w:t xml:space="preserve"> on OSE 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2585A5E3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</w:t>
      </w:r>
      <w:r w:rsidR="002743E6">
        <w:rPr>
          <w:rFonts w:cs="Arial"/>
        </w:rPr>
        <w:t xml:space="preserve">cancel </w:t>
      </w:r>
      <w:r w:rsidR="00480193">
        <w:rPr>
          <w:rFonts w:cs="Arial"/>
        </w:rPr>
        <w:t xml:space="preserve">or </w:t>
      </w:r>
      <w:r w:rsidR="002743E6">
        <w:rPr>
          <w:rFonts w:cs="Arial"/>
        </w:rPr>
        <w:t xml:space="preserve">deploy </w:t>
      </w:r>
      <w:r w:rsidR="00480193">
        <w:rPr>
          <w:rFonts w:cs="Arial"/>
        </w:rPr>
        <w:t>deployments</w:t>
      </w:r>
      <w:r w:rsidR="007A754A">
        <w:rPr>
          <w:rFonts w:cs="Arial"/>
        </w:rPr>
        <w:t xml:space="preserve"> </w:t>
      </w:r>
      <w:r w:rsidR="002743E6">
        <w:rPr>
          <w:rFonts w:cs="Arial"/>
        </w:rPr>
        <w:t>on OSE Console</w:t>
      </w:r>
      <w:r w:rsidR="007A754A">
        <w:rPr>
          <w:rFonts w:cs="Arial"/>
        </w:rPr>
        <w:t xml:space="preserve">. </w:t>
      </w:r>
      <w:r w:rsidRPr="7C2AB823">
        <w:rPr>
          <w:rFonts w:eastAsia="Arial" w:cs="Arial"/>
          <w:b/>
          <w:bCs/>
          <w:sz w:val="19"/>
          <w:szCs w:val="19"/>
        </w:rPr>
        <w:t xml:space="preserve">In Prod environments, confirm that traffic is </w:t>
      </w:r>
      <w:proofErr w:type="gramStart"/>
      <w:r w:rsidRPr="7C2AB823">
        <w:rPr>
          <w:rFonts w:eastAsia="Arial" w:cs="Arial"/>
          <w:b/>
          <w:bCs/>
          <w:sz w:val="19"/>
          <w:szCs w:val="19"/>
        </w:rPr>
        <w:t>removed</w:t>
      </w:r>
      <w:proofErr w:type="gramEnd"/>
      <w:r w:rsidR="002743E6">
        <w:rPr>
          <w:rFonts w:eastAsia="Arial" w:cs="Arial"/>
          <w:b/>
          <w:bCs/>
          <w:sz w:val="19"/>
          <w:szCs w:val="19"/>
        </w:rPr>
        <w:t xml:space="preserve"> and SAM has approved</w:t>
      </w:r>
      <w:r w:rsidRPr="7C2AB823">
        <w:rPr>
          <w:rFonts w:eastAsia="Arial" w:cs="Arial"/>
          <w:b/>
          <w:bCs/>
          <w:sz w:val="19"/>
          <w:szCs w:val="19"/>
        </w:rPr>
        <w:t xml:space="preserve"> before following this SOP.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480193" w:rsidR="007A754A" w:rsidP="00480193" w:rsidRDefault="3A8D6539" w14:paraId="06FE4733" w14:textId="3082AE42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="00480193" w:rsidP="007A754A" w:rsidRDefault="00480193" w14:paraId="13D65695" w14:textId="11DEA1E5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Double check to be in the correct environment and the correct project </w:t>
      </w:r>
      <w:r w:rsidR="001B445B">
        <w:rPr>
          <w:rStyle w:val="normaltextrun"/>
          <w:rFonts w:ascii="Arial" w:hAnsi="Arial" w:cs="Arial"/>
          <w:sz w:val="20"/>
          <w:szCs w:val="20"/>
        </w:rPr>
        <w:t xml:space="preserve">(i.e. </w:t>
      </w:r>
      <w:proofErr w:type="gramStart"/>
      <w:r w:rsidR="001B445B">
        <w:rPr>
          <w:rStyle w:val="normaltextrun"/>
          <w:rFonts w:ascii="Arial" w:hAnsi="Arial" w:cs="Arial"/>
          <w:sz w:val="20"/>
          <w:szCs w:val="20"/>
        </w:rPr>
        <w:t>ram</w:t>
      </w:r>
      <w:proofErr w:type="gramEnd"/>
      <w:r w:rsidR="001B445B">
        <w:rPr>
          <w:rStyle w:val="normaltextrun"/>
          <w:rFonts w:ascii="Arial" w:hAnsi="Arial" w:cs="Arial"/>
          <w:sz w:val="20"/>
          <w:szCs w:val="20"/>
        </w:rPr>
        <w:t>-dev1 in DevTest Black)</w:t>
      </w:r>
    </w:p>
    <w:p w:rsidRPr="007A754A" w:rsidR="007A754A" w:rsidP="7886FD7E" w:rsidRDefault="007A754A" w14:paraId="36C8B64B" w14:noSpellErr="1" w14:textId="5F578446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886FD7E" w:rsidR="7886FD7E">
        <w:rPr>
          <w:rStyle w:val="normaltextrun"/>
          <w:rFonts w:ascii="Arial" w:hAnsi="Arial" w:cs="Arial"/>
          <w:sz w:val="20"/>
          <w:szCs w:val="20"/>
        </w:rPr>
        <w:t xml:space="preserve">To cancel an ongoing deployment on the OSE console, click on “Overview” tab on the left of the page, which leads to the overview page. Click “Cancel” (in </w:t>
      </w:r>
      <w:r w:rsidRPr="7886FD7E" w:rsidR="7886FD7E">
        <w:rPr>
          <w:rStyle w:val="normaltextrun"/>
          <w:rFonts w:ascii="Arial" w:hAnsi="Arial" w:cs="Arial"/>
          <w:sz w:val="20"/>
          <w:szCs w:val="20"/>
        </w:rPr>
        <w:t>g</w:t>
      </w:r>
      <w:r w:rsidRPr="7886FD7E" w:rsidR="7886FD7E">
        <w:rPr>
          <w:rStyle w:val="normaltextrun"/>
          <w:rFonts w:ascii="Arial" w:hAnsi="Arial" w:cs="Arial"/>
          <w:sz w:val="20"/>
          <w:szCs w:val="20"/>
        </w:rPr>
        <w:t>reen rectangle):</w:t>
      </w:r>
    </w:p>
    <w:p w:rsidR="007A754A" w:rsidP="007A754A" w:rsidRDefault="00531C67" w14:paraId="09ECD044" w14:textId="4A21BB8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5CB62F" wp14:editId="116CDB08">
            <wp:extent cx="5937885" cy="3977089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24"/>
                    <a:stretch/>
                  </pic:blipFill>
                  <pic:spPr bwMode="auto">
                    <a:xfrm>
                      <a:off x="0" y="0"/>
                      <a:ext cx="5937885" cy="39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4"/>
      <w:bookmarkEnd w:id="4"/>
    </w:p>
    <w:p w:rsidR="007A754A" w:rsidP="00480193" w:rsidRDefault="007A754A" w14:paraId="30E63ED3" w14:textId="730A285D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7A754A" w:rsidP="007A754A" w:rsidRDefault="001B445B" w14:paraId="1C66FDAA" w14:textId="0AA43D8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Then a box would pop up. Read </w:t>
      </w:r>
      <w:r w:rsidR="009E1F11">
        <w:rPr>
          <w:rStyle w:val="normaltextrun"/>
          <w:rFonts w:ascii="Arial" w:hAnsi="Arial" w:cs="Arial"/>
          <w:sz w:val="20"/>
          <w:szCs w:val="20"/>
        </w:rPr>
        <w:t>it and</w:t>
      </w:r>
      <w:r>
        <w:rPr>
          <w:rStyle w:val="normaltextrun"/>
          <w:rFonts w:ascii="Arial" w:hAnsi="Arial" w:cs="Arial"/>
          <w:sz w:val="20"/>
          <w:szCs w:val="20"/>
        </w:rPr>
        <w:t xml:space="preserve"> c</w:t>
      </w:r>
      <w:r w:rsidR="007A754A">
        <w:rPr>
          <w:rStyle w:val="normaltextrun"/>
          <w:rFonts w:ascii="Arial" w:hAnsi="Arial" w:cs="Arial"/>
          <w:sz w:val="20"/>
          <w:szCs w:val="20"/>
        </w:rPr>
        <w:t>lick “</w:t>
      </w:r>
      <w:r w:rsidR="009E1F11">
        <w:rPr>
          <w:rStyle w:val="normaltextrun"/>
          <w:rFonts w:ascii="Arial" w:hAnsi="Arial" w:cs="Arial"/>
          <w:sz w:val="20"/>
          <w:szCs w:val="20"/>
        </w:rPr>
        <w:t xml:space="preserve">Yes, </w:t>
      </w:r>
      <w:r w:rsidR="007A754A">
        <w:rPr>
          <w:rStyle w:val="normaltextrun"/>
          <w:rFonts w:ascii="Arial" w:hAnsi="Arial" w:cs="Arial"/>
          <w:sz w:val="20"/>
          <w:szCs w:val="20"/>
        </w:rPr>
        <w:t xml:space="preserve">cancel” button in </w:t>
      </w:r>
      <w:r w:rsidR="00480193">
        <w:rPr>
          <w:rStyle w:val="normaltextrun"/>
          <w:rFonts w:ascii="Arial" w:hAnsi="Arial" w:cs="Arial"/>
          <w:sz w:val="20"/>
          <w:szCs w:val="20"/>
        </w:rPr>
        <w:t>red</w:t>
      </w:r>
      <w:r w:rsidR="007A754A">
        <w:rPr>
          <w:rStyle w:val="normaltextrun"/>
          <w:rFonts w:ascii="Arial" w:hAnsi="Arial" w:cs="Arial"/>
          <w:sz w:val="20"/>
          <w:szCs w:val="20"/>
        </w:rPr>
        <w:t xml:space="preserve"> rectangle to cancel </w:t>
      </w:r>
      <w:r w:rsidR="005A125B">
        <w:rPr>
          <w:rStyle w:val="normaltextrun"/>
          <w:rFonts w:ascii="Arial" w:hAnsi="Arial" w:cs="Arial"/>
          <w:sz w:val="20"/>
          <w:szCs w:val="20"/>
        </w:rPr>
        <w:t xml:space="preserve">the ongoing </w:t>
      </w:r>
      <w:r w:rsidR="007A754A">
        <w:rPr>
          <w:rStyle w:val="normaltextrun"/>
          <w:rFonts w:ascii="Arial" w:hAnsi="Arial" w:cs="Arial"/>
          <w:sz w:val="20"/>
          <w:szCs w:val="20"/>
        </w:rPr>
        <w:t>deployment</w:t>
      </w:r>
      <w:r>
        <w:rPr>
          <w:rStyle w:val="normaltextrun"/>
          <w:rFonts w:ascii="Arial" w:hAnsi="Arial" w:cs="Arial"/>
          <w:sz w:val="20"/>
          <w:szCs w:val="20"/>
        </w:rPr>
        <w:t>:</w:t>
      </w:r>
    </w:p>
    <w:p w:rsidR="001B445B" w:rsidP="007A754A" w:rsidRDefault="001B445B" w14:paraId="0D9BF27B" w14:textId="0A5409A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245C94F" wp14:editId="76FF4770">
            <wp:extent cx="3060700" cy="1236706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205" cy="12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B" w:rsidP="007A754A" w:rsidRDefault="001B445B" w14:paraId="55031FA9" w14:textId="71FDB31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1B445B" w:rsidP="009E1F11" w:rsidRDefault="009E1F11" w14:paraId="5195FE47" w14:textId="1B99435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>There should be a message at the top in a green box that says “Cancelling deployment…”:</w:t>
      </w:r>
      <w:r w:rsidR="001B445B">
        <w:rPr>
          <w:noProof/>
        </w:rPr>
        <w:drawing>
          <wp:inline distT="0" distB="0" distL="0" distR="0" wp14:anchorId="4F90C5A1" wp14:editId="04D31774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4A" w:rsidP="007A754A" w:rsidRDefault="007A754A" w14:paraId="338D7D03" w14:textId="61BA3D2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9E1F11" w:rsidP="007A754A" w:rsidRDefault="009E1F11" w14:paraId="40C99A86" w14:textId="121C25A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Verify that the deployment is indeed canceled.</w:t>
      </w:r>
    </w:p>
    <w:p w:rsidR="009E1F11" w:rsidP="007A754A" w:rsidRDefault="009E1F11" w14:paraId="5CDDE377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7A754A" w:rsidP="007A754A" w:rsidRDefault="007A754A" w14:paraId="5E01CD58" w14:textId="7C358489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To deploy </w:t>
      </w:r>
      <w:r w:rsidR="00480193">
        <w:rPr>
          <w:rStyle w:val="normaltextrun"/>
          <w:rFonts w:ascii="Arial" w:hAnsi="Arial" w:cs="Arial"/>
          <w:sz w:val="20"/>
          <w:szCs w:val="20"/>
        </w:rPr>
        <w:t>a deployment</w:t>
      </w:r>
      <w:r w:rsidR="000B1B37">
        <w:rPr>
          <w:rStyle w:val="normaltextrun"/>
          <w:rFonts w:ascii="Arial" w:hAnsi="Arial" w:cs="Arial"/>
          <w:sz w:val="20"/>
          <w:szCs w:val="20"/>
        </w:rPr>
        <w:t xml:space="preserve"> on the OSE console</w:t>
      </w:r>
      <w:r w:rsidR="00480193">
        <w:rPr>
          <w:rStyle w:val="normaltextrun"/>
          <w:rFonts w:ascii="Arial" w:hAnsi="Arial" w:cs="Arial"/>
          <w:sz w:val="20"/>
          <w:szCs w:val="20"/>
        </w:rPr>
        <w:t>, click</w:t>
      </w:r>
      <w:r w:rsidR="00A04B10">
        <w:rPr>
          <w:rStyle w:val="normaltextrun"/>
          <w:rFonts w:ascii="Arial" w:hAnsi="Arial" w:cs="Arial"/>
          <w:sz w:val="20"/>
          <w:szCs w:val="20"/>
        </w:rPr>
        <w:t xml:space="preserve"> on</w:t>
      </w:r>
      <w:r w:rsidR="00480193">
        <w:rPr>
          <w:rStyle w:val="normaltextrun"/>
          <w:rFonts w:ascii="Arial" w:hAnsi="Arial" w:cs="Arial"/>
          <w:sz w:val="20"/>
          <w:szCs w:val="20"/>
        </w:rPr>
        <w:t xml:space="preserve"> “Applications” </w:t>
      </w:r>
      <w:r w:rsidR="00A04B10">
        <w:rPr>
          <w:rStyle w:val="normaltextrun"/>
          <w:rFonts w:ascii="Arial" w:hAnsi="Arial" w:cs="Arial"/>
          <w:sz w:val="20"/>
          <w:szCs w:val="20"/>
        </w:rPr>
        <w:t xml:space="preserve">tab on the left of the page </w:t>
      </w:r>
      <w:r w:rsidR="00480193">
        <w:rPr>
          <w:rStyle w:val="normaltextrun"/>
          <w:rFonts w:ascii="Arial" w:hAnsi="Arial" w:cs="Arial"/>
          <w:sz w:val="20"/>
          <w:szCs w:val="20"/>
        </w:rPr>
        <w:t>then “Deployments”</w:t>
      </w:r>
      <w:r w:rsidR="005D5D1F">
        <w:rPr>
          <w:rStyle w:val="normaltextrun"/>
          <w:rFonts w:ascii="Arial" w:hAnsi="Arial" w:cs="Arial"/>
          <w:sz w:val="20"/>
          <w:szCs w:val="20"/>
        </w:rPr>
        <w:t>, which leads to list of deployments:</w:t>
      </w:r>
    </w:p>
    <w:p w:rsidR="00480193" w:rsidP="79E2FF21" w:rsidRDefault="00480193" w14:paraId="57272C30" w14:textId="4D6FEDDF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drawing>
          <wp:inline wp14:editId="619DEDB5" wp14:anchorId="5A056C16">
            <wp:extent cx="5943600" cy="1485900"/>
            <wp:effectExtent l="0" t="0" r="0" b="9525"/>
            <wp:docPr id="204491958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6f9edca78aa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93" w:rsidP="00480193" w:rsidRDefault="00480193" w14:paraId="18E2D919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480193" w:rsidP="7886FD7E" w:rsidRDefault="00480193" w14:paraId="5D7AD188" w14:noSpellErr="1" w14:textId="1C54ADE8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886FD7E" w:rsidR="7886FD7E">
        <w:rPr>
          <w:rStyle w:val="normaltextrun"/>
          <w:rFonts w:ascii="Arial" w:hAnsi="Arial" w:cs="Arial"/>
          <w:sz w:val="20"/>
          <w:szCs w:val="20"/>
        </w:rPr>
        <w:t xml:space="preserve">Look for the correct deployment and click on it. Then click “Deploy” (in </w:t>
      </w:r>
      <w:r w:rsidRPr="7886FD7E" w:rsidR="7886FD7E">
        <w:rPr>
          <w:rStyle w:val="normaltextrun"/>
          <w:rFonts w:ascii="Arial" w:hAnsi="Arial" w:cs="Arial"/>
          <w:sz w:val="20"/>
          <w:szCs w:val="20"/>
        </w:rPr>
        <w:t>g</w:t>
      </w:r>
      <w:r w:rsidRPr="7886FD7E" w:rsidR="7886FD7E">
        <w:rPr>
          <w:rStyle w:val="normaltextrun"/>
          <w:rFonts w:ascii="Arial" w:hAnsi="Arial" w:cs="Arial"/>
          <w:sz w:val="20"/>
          <w:szCs w:val="20"/>
        </w:rPr>
        <w:t>reen rectangle):</w:t>
      </w:r>
    </w:p>
    <w:p w:rsidR="007A754A" w:rsidP="00480193" w:rsidRDefault="00531C67" w14:paraId="4F82B512" w14:textId="46012430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82A9D62" wp14:editId="34D62546">
            <wp:extent cx="593280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37" w:rsidP="00480193" w:rsidRDefault="000B1B37" w14:paraId="4345BA9F" w14:textId="147DD78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0B1B37" w:rsidP="00480193" w:rsidRDefault="000B1B37" w14:paraId="3AC1F48A" w14:textId="36CE7EB5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There should be a message at the top in a green box that says “Deployment … has started”:</w:t>
      </w:r>
    </w:p>
    <w:p w:rsidRPr="007A754A" w:rsidR="000B1B37" w:rsidP="00480193" w:rsidRDefault="000B1B37" w14:paraId="4F6C65EA" w14:textId="3FCED1E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57F00C" wp14:editId="06B9FBF0">
            <wp:extent cx="5943600" cy="185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96" w:rsidP="5336D5FE" w:rsidRDefault="00EB6596" w14:paraId="654643F4" w14:textId="2802DFE2">
      <w:pPr>
        <w:spacing w:before="0" w:after="0"/>
        <w:rPr>
          <w:rFonts w:cs="Arial"/>
        </w:rPr>
      </w:pPr>
    </w:p>
    <w:p w:rsidR="000B1B37" w:rsidP="5336D5FE" w:rsidRDefault="000B1B37" w14:paraId="61E0B0E8" w14:textId="77777777">
      <w:pPr>
        <w:spacing w:before="0" w:after="0"/>
        <w:rPr>
          <w:rFonts w:cs="Arial"/>
        </w:rPr>
      </w:pPr>
      <w:r>
        <w:rPr>
          <w:rFonts w:cs="Arial"/>
        </w:rPr>
        <w:tab/>
      </w:r>
    </w:p>
    <w:p w:rsidR="000B1B37" w:rsidP="5336D5FE" w:rsidRDefault="000B1B37" w14:paraId="1900C35E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5336D5FE" w:rsidRDefault="000B1B37" w14:paraId="1C7F6936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5336D5FE" w:rsidRDefault="000B1B37" w14:paraId="5422A2C8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5336D5FE" w:rsidRDefault="000B1B37" w14:paraId="527A6342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5336D5FE" w:rsidRDefault="000B1B37" w14:paraId="4D973CFE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5336D5FE" w:rsidRDefault="000B1B37" w14:paraId="635EBC4F" w14:textId="77777777">
      <w:pPr>
        <w:spacing w:before="0" w:after="0"/>
        <w:rPr>
          <w:rStyle w:val="normaltextrun"/>
          <w:rFonts w:cs="Arial"/>
          <w:szCs w:val="20"/>
        </w:rPr>
      </w:pPr>
    </w:p>
    <w:p w:rsidR="000B1B37" w:rsidP="000B1B37" w:rsidRDefault="000B1B37" w14:paraId="1153B5B3" w14:textId="3E0BBD02">
      <w:pPr>
        <w:spacing w:before="0" w:after="0"/>
        <w:ind w:firstLine="720"/>
        <w:rPr>
          <w:rStyle w:val="normaltextrun"/>
          <w:rFonts w:cs="Arial"/>
          <w:szCs w:val="20"/>
        </w:rPr>
      </w:pPr>
      <w:r>
        <w:rPr>
          <w:rStyle w:val="normaltextrun"/>
          <w:rFonts w:cs="Arial"/>
          <w:szCs w:val="20"/>
        </w:rPr>
        <w:lastRenderedPageBreak/>
        <w:t>Verify that the deployment has been completed at the bottom of the same page:</w:t>
      </w:r>
    </w:p>
    <w:p w:rsidR="000B1B37" w:rsidP="5336D5FE" w:rsidRDefault="000B1B37" w14:paraId="257C7983" w14:textId="3268FB96">
      <w:pPr>
        <w:spacing w:before="0" w:after="0"/>
        <w:rPr>
          <w:rFonts w:cs="Arial"/>
        </w:rPr>
      </w:pPr>
      <w:r>
        <w:rPr>
          <w:rFonts w:cs="Arial"/>
        </w:rPr>
        <w:tab/>
      </w:r>
      <w:r>
        <w:rPr>
          <w:noProof/>
        </w:rPr>
        <w:drawing>
          <wp:inline distT="0" distB="0" distL="0" distR="0" wp14:anchorId="008869C9" wp14:editId="6DC6F76A">
            <wp:extent cx="5449078" cy="2808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269" cy="28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7" w:rsidP="5336D5FE" w:rsidRDefault="000B1B37" w14:paraId="78713935" w14:textId="77777777">
      <w:pPr>
        <w:spacing w:before="0" w:after="0"/>
        <w:rPr>
          <w:rFonts w:cs="Arial"/>
        </w:rPr>
      </w:pPr>
    </w:p>
    <w:p w:rsidR="00123E2F" w:rsidP="5336D5FE" w:rsidRDefault="00123E2F" w14:paraId="45745685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123E2F" w14:paraId="3AE309C1" w14:textId="334F795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1/24/2019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69D" w:rsidP="006C0D59" w:rsidRDefault="0009769D" w14:paraId="789EBFFF" w14:textId="77777777">
      <w:pPr>
        <w:spacing w:before="0" w:after="0"/>
      </w:pPr>
      <w:r>
        <w:separator/>
      </w:r>
    </w:p>
  </w:endnote>
  <w:endnote w:type="continuationSeparator" w:id="0">
    <w:p w:rsidR="0009769D" w:rsidP="006C0D59" w:rsidRDefault="0009769D" w14:paraId="00167769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69D" w:rsidP="006C0D59" w:rsidRDefault="0009769D" w14:paraId="288C7D3B" w14:textId="77777777">
      <w:pPr>
        <w:spacing w:before="0" w:after="0"/>
      </w:pPr>
      <w:r>
        <w:separator/>
      </w:r>
    </w:p>
  </w:footnote>
  <w:footnote w:type="continuationSeparator" w:id="0">
    <w:p w:rsidR="0009769D" w:rsidP="006C0D59" w:rsidRDefault="0009769D" w14:paraId="793ADF1A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F2F8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23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24"/>
  </w:num>
  <w:num w:numId="21">
    <w:abstractNumId w:val="14"/>
  </w:num>
  <w:num w:numId="22">
    <w:abstractNumId w:val="15"/>
  </w:num>
  <w:num w:numId="23">
    <w:abstractNumId w:val="13"/>
  </w:num>
  <w:num w:numId="24">
    <w:abstractNumId w:val="19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5BE9"/>
    <w:rsid w:val="0009769D"/>
    <w:rsid w:val="000B1B37"/>
    <w:rsid w:val="000C163E"/>
    <w:rsid w:val="00123E2F"/>
    <w:rsid w:val="00156D22"/>
    <w:rsid w:val="0019346E"/>
    <w:rsid w:val="001B445B"/>
    <w:rsid w:val="001E1E50"/>
    <w:rsid w:val="001E797A"/>
    <w:rsid w:val="00205445"/>
    <w:rsid w:val="0021317F"/>
    <w:rsid w:val="00230F2C"/>
    <w:rsid w:val="0024319D"/>
    <w:rsid w:val="00261019"/>
    <w:rsid w:val="002743E6"/>
    <w:rsid w:val="0028775D"/>
    <w:rsid w:val="00293C35"/>
    <w:rsid w:val="002F6FC0"/>
    <w:rsid w:val="00364F7B"/>
    <w:rsid w:val="00462605"/>
    <w:rsid w:val="00465741"/>
    <w:rsid w:val="00480193"/>
    <w:rsid w:val="004900D0"/>
    <w:rsid w:val="004B501D"/>
    <w:rsid w:val="004C55A7"/>
    <w:rsid w:val="004C57D5"/>
    <w:rsid w:val="004D4C70"/>
    <w:rsid w:val="0050195B"/>
    <w:rsid w:val="00531C67"/>
    <w:rsid w:val="0057731F"/>
    <w:rsid w:val="00587DEC"/>
    <w:rsid w:val="005A125B"/>
    <w:rsid w:val="005D5D1F"/>
    <w:rsid w:val="0067478A"/>
    <w:rsid w:val="006829DE"/>
    <w:rsid w:val="006B06FC"/>
    <w:rsid w:val="006C0D59"/>
    <w:rsid w:val="006F3CF7"/>
    <w:rsid w:val="00703CFF"/>
    <w:rsid w:val="007208D7"/>
    <w:rsid w:val="00726905"/>
    <w:rsid w:val="007A1D7D"/>
    <w:rsid w:val="007A754A"/>
    <w:rsid w:val="00811152"/>
    <w:rsid w:val="00811D6B"/>
    <w:rsid w:val="008164A9"/>
    <w:rsid w:val="00816BC9"/>
    <w:rsid w:val="00846793"/>
    <w:rsid w:val="00884BCD"/>
    <w:rsid w:val="008B1B4A"/>
    <w:rsid w:val="009255DC"/>
    <w:rsid w:val="00926573"/>
    <w:rsid w:val="009342A8"/>
    <w:rsid w:val="009366F3"/>
    <w:rsid w:val="0095346A"/>
    <w:rsid w:val="00990956"/>
    <w:rsid w:val="009C5237"/>
    <w:rsid w:val="009E1F11"/>
    <w:rsid w:val="009F003B"/>
    <w:rsid w:val="009F56E9"/>
    <w:rsid w:val="009F7CFE"/>
    <w:rsid w:val="00A04B10"/>
    <w:rsid w:val="00A270AC"/>
    <w:rsid w:val="00A53CEB"/>
    <w:rsid w:val="00A7195E"/>
    <w:rsid w:val="00AC582F"/>
    <w:rsid w:val="00BB55FA"/>
    <w:rsid w:val="00BC3EE5"/>
    <w:rsid w:val="00BE09BF"/>
    <w:rsid w:val="00BE57E7"/>
    <w:rsid w:val="00BF57B1"/>
    <w:rsid w:val="00C75085"/>
    <w:rsid w:val="00C94767"/>
    <w:rsid w:val="00D00AEF"/>
    <w:rsid w:val="00D57259"/>
    <w:rsid w:val="00D81102"/>
    <w:rsid w:val="00DB2622"/>
    <w:rsid w:val="00DB3DC6"/>
    <w:rsid w:val="00DC266C"/>
    <w:rsid w:val="00DD799C"/>
    <w:rsid w:val="00E23FAE"/>
    <w:rsid w:val="00EB6596"/>
    <w:rsid w:val="00EC7C04"/>
    <w:rsid w:val="00F0579E"/>
    <w:rsid w:val="00F56738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3784C8D"/>
    <w:rsid w:val="505091DF"/>
    <w:rsid w:val="51E92917"/>
    <w:rsid w:val="5336D5FE"/>
    <w:rsid w:val="5B190A44"/>
    <w:rsid w:val="5F28E7EE"/>
    <w:rsid w:val="600C0750"/>
    <w:rsid w:val="6E2E0BFF"/>
    <w:rsid w:val="7886FD7E"/>
    <w:rsid w:val="79E2FF21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/word/glossary/document.xml" Id="Rbc4997896a6c4cf2" /><Relationship Type="http://schemas.openxmlformats.org/officeDocument/2006/relationships/image" Target="/media/image8.png" Id="R96f9edca78aa41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95e05-d9a0-4eed-8ad1-7d6eb2c24d13}"/>
      </w:docPartPr>
      <w:docPartBody>
        <w:p w14:paraId="0D787F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a580ac71e226e4d7b759bb1d0cfdafd4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be2c13dbef6fa9b907587bdac6026e7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59A630EC-BE16-4832-BD97-1CFB754272C0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Moorthy, Dhanasekaran</cp:lastModifiedBy>
  <cp:revision>25</cp:revision>
  <dcterms:created xsi:type="dcterms:W3CDTF">2019-01-14T16:19:00Z</dcterms:created>
  <dcterms:modified xsi:type="dcterms:W3CDTF">2019-05-10T13:17:25Z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1024">
    <vt:lpwstr>1306</vt:lpwstr>
  </property>
</Properties>
</file>