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616F032E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bookmarkStart w:name="_GoBack" w:id="2"/>
      <w:bookmarkEnd w:id="2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1D9" w:rsidP="0024319D" w:rsidRDefault="00AB01D9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AB01D9" w:rsidP="00811D6B" w:rsidRDefault="00AB01D9" w14:paraId="5D017B53" w14:textId="1ADC27CA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F5 Load Procedure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AB01D9" w:rsidP="0024319D" w:rsidRDefault="00AB01D9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AB01D9" w:rsidP="00811D6B" w:rsidRDefault="00AB01D9" w14:paraId="5D017B53" w14:textId="1ADC27CA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F5 Load Procedure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616F032E" w:rsidR="616F032E">
        <w:rPr>
          <w:rFonts w:cs="Arial"/>
        </w:rPr>
        <w:t xml:space="preserve">                                     </w: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8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="00287BD9" w:rsidP="000D6393" w:rsidRDefault="6FFA6AB6" w14:paraId="60016168" w14:noSpellErr="1" w14:textId="5F58932A">
      <w:pPr>
        <w:pStyle w:val="ListParagraph"/>
        <w:numPr>
          <w:ilvl w:val="1"/>
          <w:numId w:val="19"/>
        </w:numPr>
        <w:rPr/>
      </w:pPr>
      <w:r w:rsidRPr="09246DFF" w:rsidR="09246DFF">
        <w:rPr>
          <w:rFonts w:cs="Arial"/>
        </w:rPr>
        <w:t>The purpose of this standard operating procedure (SOP) is to provide a detailed step-by-step procedure on how to load F5 with new VIP and add NAT between F5 VIP and public IP.</w:t>
      </w:r>
      <w:r w:rsidRPr="09246DFF" w:rsidR="09246DFF">
        <w:rPr>
          <w:rFonts w:cs="Arial"/>
        </w:rPr>
        <w:t xml:space="preserve"> </w:t>
      </w:r>
      <w:r w:rsidR="09246DFF">
        <w:rPr/>
        <w:t>Procure free virtual IP from VIP subnet of infra nodes</w:t>
      </w:r>
    </w:p>
    <w:p w:rsidR="00287BD9" w:rsidP="000D6393" w:rsidRDefault="00287BD9" w14:paraId="76E67BE9" w14:noSpellErr="1" w14:textId="634E1ACE">
      <w:pPr>
        <w:pStyle w:val="ListParagraph"/>
        <w:numPr>
          <w:ilvl w:val="1"/>
          <w:numId w:val="19"/>
        </w:numPr>
        <w:rPr/>
      </w:pPr>
      <w:r w:rsidR="09246DFF">
        <w:rPr/>
        <w:t>Procure public IP</w:t>
      </w:r>
    </w:p>
    <w:p w:rsidR="00287BD9" w:rsidP="0125AB36" w:rsidRDefault="00287BD9" w14:paraId="74E8F34F" w14:textId="2F0C7E8D">
      <w:pPr>
        <w:spacing w:before="0" w:after="0"/>
        <w:rPr>
          <w:rFonts w:cs="Arial"/>
        </w:rPr>
      </w:pPr>
    </w:p>
    <w:p w:rsidRPr="00703CFF" w:rsidR="00811D6B" w:rsidP="00703CFF" w:rsidRDefault="00811D6B" w14:paraId="6510D3FC" w14:textId="4FC9F4BE">
      <w:pPr>
        <w:spacing w:before="0" w:after="0"/>
        <w:contextualSpacing/>
        <w:rPr>
          <w:rFonts w:cs="Arial"/>
          <w:b/>
        </w:rPr>
      </w:pPr>
    </w:p>
    <w:p w:rsidRPr="00287BD9" w:rsidR="00CB0456" w:rsidP="0125AB36" w:rsidRDefault="46C12585" w14:paraId="0DA313E5" w14:textId="7DD4D8A8">
      <w:pPr>
        <w:pStyle w:val="Heading2"/>
        <w:numPr>
          <w:ilvl w:val="1"/>
          <w:numId w:val="8"/>
        </w:numPr>
        <w:spacing w:before="0" w:after="0"/>
        <w:ind w:left="360" w:hanging="360"/>
        <w:rPr>
          <w:rFonts w:cs="Arial"/>
        </w:rPr>
      </w:pPr>
      <w:r w:rsidRPr="46C12585">
        <w:rPr>
          <w:rFonts w:cs="Arial"/>
        </w:rPr>
        <w:t>PROCEDURE</w:t>
      </w:r>
    </w:p>
    <w:p w:rsidR="0125AB36" w:rsidP="0125AB36" w:rsidRDefault="0125AB36" w14:paraId="3DBFBBD1" w14:textId="0A3C94AB">
      <w:pPr>
        <w:pStyle w:val="ListParagraph"/>
        <w:numPr>
          <w:ilvl w:val="0"/>
          <w:numId w:val="19"/>
        </w:numPr>
      </w:pPr>
      <w:proofErr w:type="spellStart"/>
      <w:r>
        <w:t>Devtest</w:t>
      </w:r>
      <w:proofErr w:type="spellEnd"/>
      <w:r>
        <w:t xml:space="preserve"> env.</w:t>
      </w:r>
    </w:p>
    <w:p w:rsidR="0125AB36" w:rsidP="0125AB36" w:rsidRDefault="0125AB36" w14:paraId="632C0090" w14:textId="43BAA2E3">
      <w:pPr>
        <w:pStyle w:val="ListParagraph"/>
      </w:pPr>
      <w:r>
        <w:t xml:space="preserve">In </w:t>
      </w:r>
      <w:proofErr w:type="spellStart"/>
      <w:r>
        <w:t>Devtest</w:t>
      </w:r>
      <w:proofErr w:type="spellEnd"/>
      <w:r>
        <w:t xml:space="preserve"> env., there is one VIP with backend pool members and infranode1 and infranode2 port 80. This VIP is </w:t>
      </w:r>
      <w:proofErr w:type="spellStart"/>
      <w:r>
        <w:t>natted</w:t>
      </w:r>
      <w:proofErr w:type="spellEnd"/>
      <w:r>
        <w:t xml:space="preserve"> to public IP. In </w:t>
      </w:r>
      <w:proofErr w:type="spellStart"/>
      <w:r>
        <w:t>Devtest</w:t>
      </w:r>
      <w:proofErr w:type="spellEnd"/>
      <w:r>
        <w:t xml:space="preserve"> env., there is only one public IP and multiple domains are mapped to this IP. To add new </w:t>
      </w:r>
      <w:proofErr w:type="gramStart"/>
      <w:r>
        <w:t>domain</w:t>
      </w:r>
      <w:proofErr w:type="gramEnd"/>
      <w:r>
        <w:t xml:space="preserve"> we need to add IT CN names in domains certificate installed on F5 at VIP:444 port.</w:t>
      </w:r>
    </w:p>
    <w:p w:rsidR="0125AB36" w:rsidP="0125AB36" w:rsidRDefault="0125AB36" w14:paraId="6E938ECA" w14:textId="7503630E">
      <w:pPr>
        <w:pStyle w:val="ListParagraph"/>
        <w:numPr>
          <w:ilvl w:val="0"/>
          <w:numId w:val="19"/>
        </w:numPr>
      </w:pPr>
      <w:r>
        <w:t>Perf and Prod env.</w:t>
      </w:r>
    </w:p>
    <w:p w:rsidR="0125AB36" w:rsidP="0125AB36" w:rsidRDefault="0125AB36" w14:paraId="4CF6BBB8" w14:textId="24ADF720">
      <w:pPr>
        <w:pStyle w:val="ListParagraph"/>
      </w:pPr>
      <w:r>
        <w:t>In Perf and Prod env., there are multiple VIPs with backend pool member as infranode3 and infranode4 port 80 (</w:t>
      </w:r>
      <w:proofErr w:type="spellStart"/>
      <w:r>
        <w:t>TeaLeaf</w:t>
      </w:r>
      <w:proofErr w:type="spellEnd"/>
      <w:r>
        <w:t xml:space="preserve"> nodes). To expose new domains routes in OpenShift to the outside world, steps below can be performed.</w:t>
      </w:r>
    </w:p>
    <w:p w:rsidR="0125AB36" w:rsidP="0125AB36" w:rsidRDefault="0125AB36" w14:paraId="5E5BB5D4" w14:textId="7187A334">
      <w:pPr>
        <w:pStyle w:val="ListParagraph"/>
        <w:numPr>
          <w:ilvl w:val="1"/>
          <w:numId w:val="19"/>
        </w:numPr>
      </w:pPr>
      <w:r>
        <w:t>Procure free virtual IP from VIP subnet of infra nodes</w:t>
      </w:r>
    </w:p>
    <w:p w:rsidR="0125AB36" w:rsidP="0125AB36" w:rsidRDefault="0125AB36" w14:paraId="4EF870D0" w14:textId="77777777">
      <w:pPr>
        <w:pStyle w:val="ListParagraph"/>
        <w:ind w:firstLine="720"/>
      </w:pPr>
      <w:r>
        <w:t>Raise request to IDEA-Infrastructure Automation-Cloud-Support on ServiceNow</w:t>
      </w:r>
    </w:p>
    <w:p w:rsidR="0125AB36" w:rsidP="0125AB36" w:rsidRDefault="0125AB36" w14:paraId="060CB86F" w14:textId="39763549">
      <w:pPr>
        <w:pStyle w:val="ListParagraph"/>
        <w:numPr>
          <w:ilvl w:val="1"/>
          <w:numId w:val="19"/>
        </w:numPr>
      </w:pPr>
      <w:r>
        <w:t>Procure public IP</w:t>
      </w:r>
    </w:p>
    <w:p w:rsidR="0125AB36" w:rsidP="0125AB36" w:rsidRDefault="0125AB36" w14:paraId="562B0C0F" w14:textId="77777777">
      <w:pPr>
        <w:pStyle w:val="ListParagraph"/>
        <w:ind w:firstLine="720"/>
      </w:pPr>
      <w:r>
        <w:t>Raise request to IDEA-Infrastructure Automation-Cloud-Support on ServiceNow</w:t>
      </w:r>
    </w:p>
    <w:p w:rsidR="0125AB36" w:rsidP="0125AB36" w:rsidRDefault="0125AB36" w14:paraId="210AE2C3" w14:textId="5F0CCED7">
      <w:pPr>
        <w:pStyle w:val="ListParagraph"/>
        <w:numPr>
          <w:ilvl w:val="1"/>
          <w:numId w:val="19"/>
        </w:numPr>
      </w:pPr>
      <w:r>
        <w:t>Raise a request to network team to load F5 and create NAT between new F5 VIP and public IP on firewall.</w:t>
      </w:r>
    </w:p>
    <w:p w:rsidR="0125AB36" w:rsidP="0125AB36" w:rsidRDefault="0125AB36" w14:paraId="6D48BD31" w14:textId="77777777">
      <w:pPr>
        <w:pStyle w:val="ListParagraph"/>
        <w:ind w:left="0"/>
      </w:pPr>
    </w:p>
    <w:p w:rsidR="0125AB36" w:rsidP="0125AB36" w:rsidRDefault="0125AB36" w14:paraId="01B30210" w14:textId="77777777">
      <w:pPr>
        <w:pStyle w:val="ListParagraph"/>
        <w:ind w:left="0"/>
      </w:pPr>
      <w:r>
        <w:t>F5 load procedures: (here 12.226.233.37 and 172.23.96.37) are new public IPs and VIPs for one new project.</w:t>
      </w:r>
    </w:p>
    <w:p w:rsidR="0125AB36" w:rsidP="0125AB36" w:rsidRDefault="0125AB36" w14:paraId="5CEC6AB1" w14:textId="77777777">
      <w:pPr>
        <w:pStyle w:val="ListParagraph"/>
        <w:ind w:left="0"/>
      </w:pPr>
    </w:p>
    <w:p w:rsidR="0125AB36" w:rsidP="0125AB36" w:rsidRDefault="0125AB36" w14:paraId="2E3F9570" w14:textId="7495221B">
      <w:r>
        <w:t>Please check https://atlassian.marriott.com/browse/OSE-496 for details as an example.</w:t>
      </w:r>
    </w:p>
    <w:p w:rsidR="0125AB36" w:rsidP="0125AB36" w:rsidRDefault="0125AB36" w14:paraId="07AB61B1" w14:textId="349BF86E"/>
    <w:p w:rsidR="00CB0456" w:rsidP="00512C58" w:rsidRDefault="00CB0456" w14:paraId="0C111A14" w14:textId="2FA426FE">
      <w:pPr>
        <w:pStyle w:val="ListParagraph"/>
        <w:numPr>
          <w:ilvl w:val="0"/>
          <w:numId w:val="18"/>
        </w:numPr>
      </w:pPr>
      <w:r>
        <w:t>Create NAT to point 12.226.233.37 to 172.23.96.37 on Checkpoints</w:t>
      </w:r>
    </w:p>
    <w:p w:rsidR="00CB0456" w:rsidP="00AB01D9" w:rsidRDefault="00CB0456" w14:paraId="7409C490" w14:textId="237FF851">
      <w:pPr>
        <w:pStyle w:val="ListParagraph"/>
        <w:numPr>
          <w:ilvl w:val="0"/>
          <w:numId w:val="18"/>
        </w:numPr>
      </w:pPr>
      <w:r>
        <w:t xml:space="preserve">Create an </w:t>
      </w:r>
      <w:r w:rsidR="00512C58">
        <w:t>http</w:t>
      </w:r>
      <w:r>
        <w:t xml:space="preserve"> profile for the </w:t>
      </w:r>
      <w:r w:rsidR="008C10AC">
        <w:t>V</w:t>
      </w:r>
      <w:r w:rsidR="00C17029">
        <w:t>IP</w:t>
      </w:r>
      <w:r>
        <w:t xml:space="preserve"> and set the value of “Request Header Erase” to X-Forwarded-Proto and set the value of “Request Header Insert</w:t>
      </w:r>
      <w:r w:rsidR="002356A3">
        <w:t>”</w:t>
      </w:r>
      <w:r>
        <w:t xml:space="preserve"> with mi-Forwarded-Proto: http or https depending on the service</w:t>
      </w:r>
    </w:p>
    <w:p w:rsidR="00CB0456" w:rsidP="00512C58" w:rsidRDefault="00CB0456" w14:paraId="239A5DA3" w14:textId="456BCEE5">
      <w:pPr>
        <w:pStyle w:val="ListParagraph"/>
        <w:numPr>
          <w:ilvl w:val="0"/>
          <w:numId w:val="18"/>
        </w:numPr>
      </w:pPr>
      <w:r>
        <w:t>Create pool ‘ram-e2e5.m.com_80_pool’ with pool members 172.23.97.57:80 and 172.23.97.58:80 on F5</w:t>
      </w:r>
    </w:p>
    <w:p w:rsidR="00CB0456" w:rsidP="00512C58" w:rsidRDefault="00CB0456" w14:paraId="4A650445" w14:textId="4FC566FD">
      <w:pPr>
        <w:pStyle w:val="ListParagraph"/>
        <w:numPr>
          <w:ilvl w:val="0"/>
          <w:numId w:val="18"/>
        </w:numPr>
      </w:pPr>
      <w:r>
        <w:t>Create virtual server named ram-e2e5.marriott.com 172.23.96.37:80 and 172.23.96.37:443 on F5</w:t>
      </w:r>
    </w:p>
    <w:p w:rsidR="00CB0456" w:rsidP="00512C58" w:rsidRDefault="00CB0456" w14:paraId="5FB7CAA8" w14:textId="568FC13B">
      <w:pPr>
        <w:pStyle w:val="ListParagraph"/>
        <w:numPr>
          <w:ilvl w:val="0"/>
          <w:numId w:val="18"/>
        </w:numPr>
      </w:pPr>
      <w:r>
        <w:t>Attach ram-e2e5.m.com_80_pool to 172.23.96.37.80 and 172.23.96.37:443 on F5</w:t>
      </w:r>
      <w:r>
        <w:tab/>
      </w:r>
    </w:p>
    <w:p w:rsidR="00CB0456" w:rsidP="00512C58" w:rsidRDefault="00CB0456" w14:paraId="28E66893" w14:textId="5FD54CCC">
      <w:pPr>
        <w:pStyle w:val="ListParagraph"/>
        <w:numPr>
          <w:ilvl w:val="0"/>
          <w:numId w:val="18"/>
        </w:numPr>
      </w:pPr>
      <w:r>
        <w:t xml:space="preserve">Apply </w:t>
      </w:r>
      <w:r w:rsidR="004D5B32">
        <w:t>&lt;</w:t>
      </w:r>
      <w:r w:rsidR="0073330B">
        <w:t>name</w:t>
      </w:r>
      <w:proofErr w:type="gramStart"/>
      <w:r w:rsidR="0073330B">
        <w:t>&gt;</w:t>
      </w:r>
      <w:r>
        <w:t>.marriott.com</w:t>
      </w:r>
      <w:proofErr w:type="gramEnd"/>
      <w:r>
        <w:t xml:space="preserve"> certificate to virtual server 172.23.96.37:443 on F5 (Shetty, B</w:t>
      </w:r>
      <w:r w:rsidR="00C17029">
        <w:t>ip</w:t>
      </w:r>
      <w:r>
        <w:t>in</w:t>
      </w:r>
      <w:r w:rsidR="00C17029">
        <w:t xml:space="preserve"> </w:t>
      </w:r>
      <w:r>
        <w:t>will provide</w:t>
      </w:r>
      <w:r w:rsidR="00512C58">
        <w:t>)</w:t>
      </w:r>
    </w:p>
    <w:p w:rsidR="00512C58" w:rsidP="00512C58" w:rsidRDefault="00CB0456" w14:paraId="594BF5AD" w14:textId="77777777">
      <w:pPr>
        <w:pStyle w:val="ListParagraph"/>
        <w:numPr>
          <w:ilvl w:val="0"/>
          <w:numId w:val="18"/>
        </w:numPr>
      </w:pPr>
      <w:r>
        <w:t xml:space="preserve">Set </w:t>
      </w:r>
      <w:proofErr w:type="spellStart"/>
      <w:r>
        <w:t>clientssl</w:t>
      </w:r>
      <w:proofErr w:type="spellEnd"/>
      <w:r>
        <w:t xml:space="preserve"> profile with below:</w:t>
      </w:r>
    </w:p>
    <w:p w:rsidR="00512C58" w:rsidP="00512C58" w:rsidRDefault="00CB0456" w14:paraId="4F9CAF1F" w14:textId="77777777">
      <w:pPr>
        <w:pStyle w:val="ListParagraph"/>
        <w:numPr>
          <w:ilvl w:val="1"/>
          <w:numId w:val="18"/>
        </w:numPr>
      </w:pPr>
      <w:r>
        <w:t>C</w:t>
      </w:r>
      <w:r w:rsidR="00C17029">
        <w:t>ip</w:t>
      </w:r>
      <w:r>
        <w:t xml:space="preserve">hers should be set to </w:t>
      </w:r>
      <w:proofErr w:type="gramStart"/>
      <w:r>
        <w:t>DEFAULT:!</w:t>
      </w:r>
      <w:proofErr w:type="gramEnd"/>
      <w:r>
        <w:t>DHE-RSA-DES-CBC3-SHA:!DES-CBC3-SHA:!ECDHE-RSA-DES-CBC3-SHA</w:t>
      </w:r>
    </w:p>
    <w:p w:rsidR="00CB0456" w:rsidP="00512C58" w:rsidRDefault="00CB0456" w14:paraId="7B373F24" w14:textId="6DBB9053">
      <w:pPr>
        <w:pStyle w:val="ListParagraph"/>
        <w:numPr>
          <w:ilvl w:val="1"/>
          <w:numId w:val="18"/>
        </w:numPr>
      </w:pPr>
      <w:r>
        <w:t>Enabled options should be</w:t>
      </w:r>
    </w:p>
    <w:p w:rsidR="00CB0456" w:rsidP="00512C58" w:rsidRDefault="00CB0456" w14:paraId="117E4849" w14:textId="418C13FD">
      <w:pPr>
        <w:pStyle w:val="ListParagraph"/>
        <w:numPr>
          <w:ilvl w:val="2"/>
          <w:numId w:val="18"/>
        </w:numPr>
      </w:pPr>
      <w:r>
        <w:t>Don’t insert empty fragments</w:t>
      </w:r>
    </w:p>
    <w:p w:rsidR="00CB0456" w:rsidP="00512C58" w:rsidRDefault="00CB0456" w14:paraId="34A7C3E7" w14:textId="74C5012A">
      <w:pPr>
        <w:pStyle w:val="ListParagraph"/>
        <w:numPr>
          <w:ilvl w:val="2"/>
          <w:numId w:val="18"/>
        </w:numPr>
      </w:pPr>
      <w:r>
        <w:t>No DTLS</w:t>
      </w:r>
    </w:p>
    <w:p w:rsidR="00CB0456" w:rsidP="00512C58" w:rsidRDefault="00CB0456" w14:paraId="23135547" w14:textId="44CAABFB">
      <w:pPr>
        <w:pStyle w:val="ListParagraph"/>
        <w:numPr>
          <w:ilvl w:val="2"/>
          <w:numId w:val="18"/>
        </w:numPr>
      </w:pPr>
      <w:r>
        <w:t>No TLSv1.1</w:t>
      </w:r>
    </w:p>
    <w:p w:rsidR="505091DF" w:rsidP="00AE5DDF" w:rsidRDefault="00CB0456" w14:paraId="00A2D424" w14:textId="1EC18596">
      <w:pPr>
        <w:pStyle w:val="ListParagraph"/>
        <w:numPr>
          <w:ilvl w:val="2"/>
          <w:numId w:val="18"/>
        </w:numPr>
      </w:pPr>
      <w:r>
        <w:t>No TLSv1</w:t>
      </w:r>
    </w:p>
    <w:p w:rsidRPr="00703CFF" w:rsidR="00293C35" w:rsidP="00293C35" w:rsidRDefault="00293C35" w14:paraId="38D86E9B" w14:textId="77777777">
      <w:pPr>
        <w:spacing w:before="0" w:after="0"/>
        <w:ind w:left="360"/>
        <w:contextualSpacing/>
        <w:rPr>
          <w:rFonts w:cs="Arial"/>
        </w:rPr>
      </w:pPr>
    </w:p>
    <w:p w:rsidRPr="00703CFF" w:rsidR="00811D6B" w:rsidP="00703CFF" w:rsidRDefault="7C8F623C" w14:paraId="32B5EC02" w14:textId="77777777">
      <w:pPr>
        <w:pStyle w:val="Heading2"/>
        <w:numPr>
          <w:ilvl w:val="1"/>
          <w:numId w:val="8"/>
        </w:numPr>
        <w:spacing w:before="0" w:after="0"/>
        <w:ind w:left="360" w:hanging="360"/>
        <w:contextualSpacing/>
        <w:rPr>
          <w:rFonts w:eastAsia="Arial" w:cs="Arial"/>
        </w:rPr>
      </w:pPr>
      <w:r w:rsidRPr="7C8F623C">
        <w:rPr>
          <w:rFonts w:eastAsia="Arial" w:cs="Arial"/>
        </w:rPr>
        <w:lastRenderedPageBreak/>
        <w:t>VALIDATION</w:t>
      </w:r>
    </w:p>
    <w:p w:rsidR="57642902" w:rsidP="57642902" w:rsidRDefault="57642902" w14:paraId="58334F57" w14:textId="7C0A376C">
      <w:pPr>
        <w:spacing w:before="0" w:after="0"/>
        <w:contextualSpacing/>
        <w:rPr>
          <w:rFonts w:cs="Arial" w:eastAsiaTheme="minorEastAsia"/>
        </w:rPr>
      </w:pPr>
      <w:r w:rsidRPr="57642902">
        <w:rPr>
          <w:rFonts w:cs="Arial" w:eastAsiaTheme="minorEastAsia"/>
        </w:rPr>
        <w:t xml:space="preserve">Test the connectivity of </w:t>
      </w:r>
      <w:proofErr w:type="spellStart"/>
      <w:r w:rsidRPr="57642902">
        <w:rPr>
          <w:rFonts w:cs="Arial" w:eastAsiaTheme="minorEastAsia"/>
        </w:rPr>
        <w:t>puublic</w:t>
      </w:r>
      <w:proofErr w:type="spellEnd"/>
      <w:r w:rsidRPr="57642902">
        <w:rPr>
          <w:rFonts w:cs="Arial" w:eastAsiaTheme="minorEastAsia"/>
        </w:rPr>
        <w:t xml:space="preserve"> and F5 </w:t>
      </w:r>
      <w:proofErr w:type="spellStart"/>
      <w:r w:rsidRPr="57642902">
        <w:rPr>
          <w:rFonts w:cs="Arial" w:eastAsiaTheme="minorEastAsia"/>
        </w:rPr>
        <w:t>vip</w:t>
      </w:r>
      <w:proofErr w:type="spellEnd"/>
      <w:r w:rsidRPr="57642902">
        <w:rPr>
          <w:rFonts w:cs="Arial" w:eastAsiaTheme="minorEastAsia"/>
        </w:rPr>
        <w:t xml:space="preserve"> by hitting </w:t>
      </w:r>
      <w:proofErr w:type="spellStart"/>
      <w:r w:rsidRPr="57642902">
        <w:rPr>
          <w:rFonts w:cs="Arial" w:eastAsiaTheme="minorEastAsia"/>
        </w:rPr>
        <w:t>openshift</w:t>
      </w:r>
      <w:proofErr w:type="spellEnd"/>
      <w:r w:rsidRPr="57642902">
        <w:rPr>
          <w:rFonts w:cs="Arial" w:eastAsiaTheme="minorEastAsia"/>
        </w:rPr>
        <w:t xml:space="preserve"> Router through pubic </w:t>
      </w:r>
      <w:proofErr w:type="spellStart"/>
      <w:r w:rsidRPr="57642902">
        <w:rPr>
          <w:rFonts w:cs="Arial" w:eastAsiaTheme="minorEastAsia"/>
        </w:rPr>
        <w:t>ip</w:t>
      </w:r>
      <w:proofErr w:type="spellEnd"/>
      <w:r w:rsidRPr="57642902">
        <w:rPr>
          <w:rFonts w:cs="Arial" w:eastAsiaTheme="minorEastAsia"/>
        </w:rPr>
        <w:t xml:space="preserve"> and F5 IP</w:t>
      </w:r>
    </w:p>
    <w:p w:rsidRPr="006D3C31" w:rsidR="006D3C31" w:rsidP="09246DFF" w:rsidRDefault="57642902" w14:paraId="2769F5A3" w14:textId="29A3FED3">
      <w:pPr>
        <w:pStyle w:val="ListParagraph"/>
        <w:numPr>
          <w:ilvl w:val="0"/>
          <w:numId w:val="2"/>
        </w:numPr>
        <w:spacing w:before="0" w:after="0"/>
        <w:rPr/>
      </w:pPr>
      <w:r w:rsidR="09246DFF">
        <w:rPr/>
        <w:t xml:space="preserve">curl -v </w:t>
      </w:r>
      <w:r w:rsidRPr="09246DFF" w:rsidR="09246DFF">
        <w:rPr>
          <w:rStyle w:val="Hyperlink"/>
        </w:rPr>
        <w:t>http://&lt;F5</w:t>
      </w:r>
      <w:r w:rsidR="09246DFF">
        <w:rPr/>
        <w:t xml:space="preserve"> VIP&gt;/</w:t>
      </w:r>
      <w:proofErr w:type="spellStart"/>
      <w:r w:rsidR="09246DFF">
        <w:rPr/>
        <w:t>default.mi</w:t>
      </w:r>
      <w:proofErr w:type="spellEnd"/>
      <w:r w:rsidR="09246DFF">
        <w:rPr/>
        <w:t xml:space="preserve"> -H 'Host</w:t>
      </w:r>
      <w:r w:rsidR="09246DFF">
        <w:rPr/>
        <w:t>:&lt;HOST ROUTE&gt;</w:t>
      </w:r>
      <w:r w:rsidR="09246DFF">
        <w:rPr/>
        <w:t>'</w:t>
      </w:r>
      <w:hyperlink/>
    </w:p>
    <w:p w:rsidRPr="006D3C31" w:rsidR="57642902" w:rsidP="09246DFF" w:rsidRDefault="57642902" w14:paraId="7F28D206" w14:textId="69F4AD75">
      <w:pPr>
        <w:pStyle w:val="ListParagraph"/>
        <w:numPr>
          <w:ilvl w:val="0"/>
          <w:numId w:val="2"/>
        </w:numPr>
        <w:spacing w:before="0" w:after="0"/>
        <w:rPr/>
      </w:pPr>
      <w:r w:rsidR="09246DFF">
        <w:rPr/>
        <w:t xml:space="preserve">curl -v </w:t>
      </w:r>
      <w:hyperlink r:id="R860e078017be4825">
        <w:r w:rsidRPr="09246DFF" w:rsidR="09246DFF">
          <w:rPr>
            <w:rStyle w:val="Hyperlink"/>
          </w:rPr>
          <w:t>http://PUBLIC</w:t>
        </w:r>
      </w:hyperlink>
      <w:r w:rsidR="09246DFF">
        <w:rPr/>
        <w:t xml:space="preserve"> IP&gt;/</w:t>
      </w:r>
      <w:proofErr w:type="spellStart"/>
      <w:r w:rsidR="09246DFF">
        <w:rPr/>
        <w:t>default.mi</w:t>
      </w:r>
      <w:proofErr w:type="spellEnd"/>
      <w:r w:rsidR="09246DFF">
        <w:rPr/>
        <w:t xml:space="preserve"> -H 'Host:</w:t>
      </w:r>
      <w:r w:rsidR="09246DFF">
        <w:rPr/>
        <w:t>&lt;HOST ROUTE&gt;</w:t>
      </w:r>
      <w:r w:rsidR="09246DFF">
        <w:rPr/>
        <w:t>'</w:t>
      </w:r>
    </w:p>
    <w:p w:rsidR="57642902" w:rsidP="57642902" w:rsidRDefault="57642902" w14:paraId="64594A7D" w14:textId="43008DBF">
      <w:pPr>
        <w:spacing w:before="0" w:after="0"/>
      </w:pPr>
    </w:p>
    <w:p w:rsidR="57642902" w:rsidP="57642902" w:rsidRDefault="57642902" w14:paraId="605A21D8" w14:textId="54A66B01">
      <w:pPr>
        <w:spacing w:before="0" w:after="0"/>
      </w:pPr>
    </w:p>
    <w:p w:rsidR="57642902" w:rsidP="57642902" w:rsidRDefault="57642902" w14:paraId="5182E6F7" w14:textId="7E5E1BC3">
      <w:pPr>
        <w:spacing w:before="0" w:after="0"/>
      </w:pP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6FFA6AB6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2307841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name="_Toc154289745" w:id="3"/>
            <w:bookmarkStart w:name="_Toc154289747" w:id="4"/>
            <w:bookmarkStart w:name="_Toc154289748" w:id="5"/>
            <w:bookmarkStart w:name="_Toc154289743" w:id="6"/>
            <w:bookmarkStart w:name="Text8" w:id="7"/>
            <w:bookmarkStart w:name="Text33" w:id="8"/>
            <w:bookmarkStart w:name="Text35" w:id="9"/>
            <w:bookmarkStart w:name="Text51" w:id="10"/>
            <w:bookmarkStart w:name="Text50" w:id="11"/>
            <w:bookmarkStart w:name="Text49" w:id="12"/>
            <w:bookmarkStart w:name="Text45" w:id="13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Pr="5FB8B3D5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7262CF20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53B0F2FD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4666B132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Approved by</w:t>
            </w:r>
          </w:p>
        </w:tc>
      </w:tr>
      <w:tr w:rsidRPr="00703CFF" w:rsidR="0024319D" w:rsidTr="6FFA6AB6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6FFA6AB6" w:rsidRDefault="6FFA6AB6" w14:paraId="1DA0BF99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6FFA6AB6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5FB8B3D5" w:rsidRDefault="5FB8B3D5" w14:paraId="3AE309C1" w14:textId="18A1BC20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6FFA6AB6" w:rsidRDefault="6FFA6AB6" w14:paraId="32F9FB4B" w14:textId="0E4C4C66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6FFA6AB6">
              <w:rPr>
                <w:rFonts w:cs="Arial"/>
              </w:rPr>
              <w:t>KyungIn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653BC5DD" w:rsidRDefault="653BC5DD" w14:paraId="3B2A3F58" w14:textId="140DC7C8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653BC5DD">
              <w:rPr>
                <w:rFonts w:cs="Arial"/>
              </w:rPr>
              <w:t>Yashi Kumar</w:t>
            </w:r>
          </w:p>
        </w:tc>
      </w:tr>
      <w:tr w:rsidRPr="00703CFF" w:rsidR="0024319D" w:rsidTr="6FFA6AB6" w14:paraId="5495066C" w14:textId="77777777">
        <w:trPr>
          <w:trHeight w:val="432"/>
        </w:trPr>
        <w:tc>
          <w:tcPr>
            <w:tcW w:w="625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5FB8B3D5" w:rsidRDefault="5FB8B3D5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5FB8B3D5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6FFA6AB6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0F374AE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5740E04C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6EE9AAC8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1549BF6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4941B3B4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7897EAE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771CDE43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Remarks</w:t>
            </w:r>
          </w:p>
        </w:tc>
      </w:tr>
      <w:tr w:rsidRPr="00703CFF" w:rsidR="0024319D" w:rsidTr="6FFA6AB6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6FFA6AB6" w:rsidRDefault="6FFA6AB6" w14:paraId="55C053EA" w14:textId="7FBD4C8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6FFA6AB6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6FFA6AB6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6FFA6AB6" w:rsidRDefault="6FFA6AB6" w14:paraId="1888A72F" w14:textId="25029CA4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6FFA6AB6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1D9" w:rsidP="006C0D59" w:rsidRDefault="00AB01D9" w14:paraId="002CFBEB" w14:textId="77777777">
      <w:pPr>
        <w:spacing w:before="0" w:after="0"/>
      </w:pPr>
      <w:r>
        <w:separator/>
      </w:r>
    </w:p>
  </w:endnote>
  <w:endnote w:type="continuationSeparator" w:id="0">
    <w:p w:rsidR="00AB01D9" w:rsidP="006C0D59" w:rsidRDefault="00AB01D9" w14:paraId="341A00B7" w14:textId="77777777">
      <w:pPr>
        <w:spacing w:before="0" w:after="0"/>
      </w:pPr>
      <w:r>
        <w:continuationSeparator/>
      </w:r>
    </w:p>
  </w:endnote>
  <w:endnote w:type="continuationNotice" w:id="1">
    <w:p w:rsidR="00337B29" w:rsidRDefault="00337B29" w14:paraId="0D6BCAC2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01D9" w:rsidRDefault="00AB01D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B01D9" w:rsidRDefault="00AB01D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1D9" w:rsidP="006C0D59" w:rsidRDefault="00AB01D9" w14:paraId="3F72F4F1" w14:textId="77777777">
      <w:pPr>
        <w:spacing w:before="0" w:after="0"/>
      </w:pPr>
      <w:r>
        <w:separator/>
      </w:r>
    </w:p>
  </w:footnote>
  <w:footnote w:type="continuationSeparator" w:id="0">
    <w:p w:rsidR="00AB01D9" w:rsidP="006C0D59" w:rsidRDefault="00AB01D9" w14:paraId="7CCCBEC3" w14:textId="77777777">
      <w:pPr>
        <w:spacing w:before="0" w:after="0"/>
      </w:pPr>
      <w:r>
        <w:continuationSeparator/>
      </w:r>
    </w:p>
  </w:footnote>
  <w:footnote w:type="continuationNotice" w:id="1">
    <w:p w:rsidR="00337B29" w:rsidRDefault="00337B29" w14:paraId="234A2D1C" w14:textId="77777777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90F45FF"/>
    <w:multiLevelType w:val="hybridMultilevel"/>
    <w:tmpl w:val="0F3CEB5C"/>
    <w:lvl w:ilvl="0" w:tplc="BF6AC182">
      <w:start w:val="1"/>
      <w:numFmt w:val="decimal"/>
      <w:lvlText w:val="%1."/>
      <w:lvlJc w:val="left"/>
      <w:pPr>
        <w:ind w:left="720" w:hanging="360"/>
      </w:pPr>
    </w:lvl>
    <w:lvl w:ilvl="1" w:tplc="5454A668">
      <w:start w:val="1"/>
      <w:numFmt w:val="lowerLetter"/>
      <w:lvlText w:val="%2."/>
      <w:lvlJc w:val="left"/>
      <w:pPr>
        <w:ind w:left="1440" w:hanging="360"/>
      </w:pPr>
    </w:lvl>
    <w:lvl w:ilvl="2" w:tplc="69622AEA">
      <w:start w:val="1"/>
      <w:numFmt w:val="lowerRoman"/>
      <w:lvlText w:val="%3."/>
      <w:lvlJc w:val="right"/>
      <w:pPr>
        <w:ind w:left="2160" w:hanging="180"/>
      </w:pPr>
    </w:lvl>
    <w:lvl w:ilvl="3" w:tplc="B2248B12">
      <w:start w:val="1"/>
      <w:numFmt w:val="decimal"/>
      <w:lvlText w:val="%4."/>
      <w:lvlJc w:val="left"/>
      <w:pPr>
        <w:ind w:left="2880" w:hanging="360"/>
      </w:pPr>
    </w:lvl>
    <w:lvl w:ilvl="4" w:tplc="C6A068CA">
      <w:start w:val="1"/>
      <w:numFmt w:val="lowerLetter"/>
      <w:lvlText w:val="%5."/>
      <w:lvlJc w:val="left"/>
      <w:pPr>
        <w:ind w:left="3600" w:hanging="360"/>
      </w:pPr>
    </w:lvl>
    <w:lvl w:ilvl="5" w:tplc="9C6E94BA">
      <w:start w:val="1"/>
      <w:numFmt w:val="lowerRoman"/>
      <w:lvlText w:val="%6."/>
      <w:lvlJc w:val="right"/>
      <w:pPr>
        <w:ind w:left="4320" w:hanging="180"/>
      </w:pPr>
    </w:lvl>
    <w:lvl w:ilvl="6" w:tplc="50B0EACA">
      <w:start w:val="1"/>
      <w:numFmt w:val="decimal"/>
      <w:lvlText w:val="%7."/>
      <w:lvlJc w:val="left"/>
      <w:pPr>
        <w:ind w:left="5040" w:hanging="360"/>
      </w:pPr>
    </w:lvl>
    <w:lvl w:ilvl="7" w:tplc="FA6A6108">
      <w:start w:val="1"/>
      <w:numFmt w:val="lowerLetter"/>
      <w:lvlText w:val="%8."/>
      <w:lvlJc w:val="left"/>
      <w:pPr>
        <w:ind w:left="5760" w:hanging="360"/>
      </w:pPr>
    </w:lvl>
    <w:lvl w:ilvl="8" w:tplc="DA6C213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015B2"/>
    <w:multiLevelType w:val="hybridMultilevel"/>
    <w:tmpl w:val="EA00807C"/>
    <w:lvl w:ilvl="0" w:tplc="9FDC3310">
      <w:start w:val="1"/>
      <w:numFmt w:val="decimal"/>
      <w:lvlText w:val="%1."/>
      <w:lvlJc w:val="left"/>
      <w:pPr>
        <w:ind w:left="720" w:hanging="360"/>
      </w:pPr>
    </w:lvl>
    <w:lvl w:ilvl="1" w:tplc="7BE6C7E0">
      <w:start w:val="1"/>
      <w:numFmt w:val="lowerLetter"/>
      <w:lvlText w:val="%2."/>
      <w:lvlJc w:val="left"/>
      <w:pPr>
        <w:ind w:left="1440" w:hanging="360"/>
      </w:pPr>
    </w:lvl>
    <w:lvl w:ilvl="2" w:tplc="54C6ADE4">
      <w:start w:val="1"/>
      <w:numFmt w:val="lowerRoman"/>
      <w:lvlText w:val="%3."/>
      <w:lvlJc w:val="right"/>
      <w:pPr>
        <w:ind w:left="2160" w:hanging="180"/>
      </w:pPr>
    </w:lvl>
    <w:lvl w:ilvl="3" w:tplc="6FA20F3A">
      <w:start w:val="1"/>
      <w:numFmt w:val="decimal"/>
      <w:lvlText w:val="%4."/>
      <w:lvlJc w:val="left"/>
      <w:pPr>
        <w:ind w:left="2880" w:hanging="360"/>
      </w:pPr>
    </w:lvl>
    <w:lvl w:ilvl="4" w:tplc="A2DEA2B8">
      <w:start w:val="1"/>
      <w:numFmt w:val="lowerLetter"/>
      <w:lvlText w:val="%5."/>
      <w:lvlJc w:val="left"/>
      <w:pPr>
        <w:ind w:left="3600" w:hanging="360"/>
      </w:pPr>
    </w:lvl>
    <w:lvl w:ilvl="5" w:tplc="13E8F596">
      <w:start w:val="1"/>
      <w:numFmt w:val="lowerRoman"/>
      <w:lvlText w:val="%6."/>
      <w:lvlJc w:val="right"/>
      <w:pPr>
        <w:ind w:left="4320" w:hanging="180"/>
      </w:pPr>
    </w:lvl>
    <w:lvl w:ilvl="6" w:tplc="373C59AC">
      <w:start w:val="1"/>
      <w:numFmt w:val="decimal"/>
      <w:lvlText w:val="%7."/>
      <w:lvlJc w:val="left"/>
      <w:pPr>
        <w:ind w:left="5040" w:hanging="360"/>
      </w:pPr>
    </w:lvl>
    <w:lvl w:ilvl="7" w:tplc="B364B346">
      <w:start w:val="1"/>
      <w:numFmt w:val="lowerLetter"/>
      <w:lvlText w:val="%8."/>
      <w:lvlJc w:val="left"/>
      <w:pPr>
        <w:ind w:left="5760" w:hanging="360"/>
      </w:pPr>
    </w:lvl>
    <w:lvl w:ilvl="8" w:tplc="F4F28B6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27A46"/>
    <w:multiLevelType w:val="hybridMultilevel"/>
    <w:tmpl w:val="6BCE246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C0E2326">
      <w:numFmt w:val="bullet"/>
      <w:lvlText w:val=""/>
      <w:lvlJc w:val="left"/>
      <w:pPr>
        <w:ind w:left="2160" w:hanging="360"/>
      </w:pPr>
      <w:rPr>
        <w:rFonts w:hint="default" w:ascii="Wingdings" w:hAnsi="Wingdings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1A05D71"/>
    <w:multiLevelType w:val="hybridMultilevel"/>
    <w:tmpl w:val="1CC65A9C"/>
    <w:lvl w:ilvl="0" w:tplc="7598B010">
      <w:start w:val="1"/>
      <w:numFmt w:val="lowerLetter"/>
      <w:lvlText w:val="%1."/>
      <w:lvlJc w:val="left"/>
      <w:pPr>
        <w:ind w:left="720" w:hanging="360"/>
      </w:pPr>
    </w:lvl>
    <w:lvl w:ilvl="1" w:tplc="F2381624">
      <w:start w:val="1"/>
      <w:numFmt w:val="lowerLetter"/>
      <w:lvlText w:val="%2."/>
      <w:lvlJc w:val="left"/>
      <w:pPr>
        <w:ind w:left="1440" w:hanging="360"/>
      </w:pPr>
    </w:lvl>
    <w:lvl w:ilvl="2" w:tplc="E9DAF66C">
      <w:start w:val="1"/>
      <w:numFmt w:val="lowerRoman"/>
      <w:lvlText w:val="%3."/>
      <w:lvlJc w:val="right"/>
      <w:pPr>
        <w:ind w:left="2160" w:hanging="180"/>
      </w:pPr>
    </w:lvl>
    <w:lvl w:ilvl="3" w:tplc="46BC20BC">
      <w:start w:val="1"/>
      <w:numFmt w:val="decimal"/>
      <w:lvlText w:val="%4."/>
      <w:lvlJc w:val="left"/>
      <w:pPr>
        <w:ind w:left="2880" w:hanging="360"/>
      </w:pPr>
    </w:lvl>
    <w:lvl w:ilvl="4" w:tplc="18B4F6EC">
      <w:start w:val="1"/>
      <w:numFmt w:val="lowerLetter"/>
      <w:lvlText w:val="%5."/>
      <w:lvlJc w:val="left"/>
      <w:pPr>
        <w:ind w:left="3600" w:hanging="360"/>
      </w:pPr>
    </w:lvl>
    <w:lvl w:ilvl="5" w:tplc="7242DB00">
      <w:start w:val="1"/>
      <w:numFmt w:val="lowerRoman"/>
      <w:lvlText w:val="%6."/>
      <w:lvlJc w:val="right"/>
      <w:pPr>
        <w:ind w:left="4320" w:hanging="180"/>
      </w:pPr>
    </w:lvl>
    <w:lvl w:ilvl="6" w:tplc="417ED2D8">
      <w:start w:val="1"/>
      <w:numFmt w:val="decimal"/>
      <w:lvlText w:val="%7."/>
      <w:lvlJc w:val="left"/>
      <w:pPr>
        <w:ind w:left="5040" w:hanging="360"/>
      </w:pPr>
    </w:lvl>
    <w:lvl w:ilvl="7" w:tplc="3FC02C3C">
      <w:start w:val="1"/>
      <w:numFmt w:val="lowerLetter"/>
      <w:lvlText w:val="%8."/>
      <w:lvlJc w:val="left"/>
      <w:pPr>
        <w:ind w:left="5760" w:hanging="360"/>
      </w:pPr>
    </w:lvl>
    <w:lvl w:ilvl="8" w:tplc="4A167A5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E1B43"/>
    <w:multiLevelType w:val="hybridMultilevel"/>
    <w:tmpl w:val="62A262FE"/>
    <w:lvl w:ilvl="0" w:tplc="206EA2C2">
      <w:numFmt w:val="bullet"/>
      <w:lvlText w:val="•"/>
      <w:lvlJc w:val="left"/>
      <w:pPr>
        <w:ind w:left="1440" w:hanging="72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344E5A8F"/>
    <w:multiLevelType w:val="hybridMultilevel"/>
    <w:tmpl w:val="D6DC5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511F5735"/>
    <w:multiLevelType w:val="hybridMultilevel"/>
    <w:tmpl w:val="A3323AA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5F075BD"/>
    <w:multiLevelType w:val="hybridMultilevel"/>
    <w:tmpl w:val="6394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252D734">
      <w:start w:val="1"/>
      <w:numFmt w:val="lowerRoman"/>
      <w:lvlText w:val="%3."/>
      <w:lvlJc w:val="right"/>
      <w:pPr>
        <w:ind w:left="2160" w:hanging="180"/>
      </w:pPr>
    </w:lvl>
    <w:lvl w:ilvl="3" w:tplc="A2063590">
      <w:start w:val="1"/>
      <w:numFmt w:val="decimal"/>
      <w:lvlText w:val="%4."/>
      <w:lvlJc w:val="left"/>
      <w:pPr>
        <w:ind w:left="2880" w:hanging="360"/>
      </w:pPr>
    </w:lvl>
    <w:lvl w:ilvl="4" w:tplc="3C748694">
      <w:start w:val="1"/>
      <w:numFmt w:val="lowerLetter"/>
      <w:lvlText w:val="%5."/>
      <w:lvlJc w:val="left"/>
      <w:pPr>
        <w:ind w:left="3600" w:hanging="360"/>
      </w:pPr>
    </w:lvl>
    <w:lvl w:ilvl="5" w:tplc="565C6974">
      <w:start w:val="1"/>
      <w:numFmt w:val="lowerRoman"/>
      <w:lvlText w:val="%6."/>
      <w:lvlJc w:val="right"/>
      <w:pPr>
        <w:ind w:left="4320" w:hanging="180"/>
      </w:pPr>
    </w:lvl>
    <w:lvl w:ilvl="6" w:tplc="F2D688F4">
      <w:start w:val="1"/>
      <w:numFmt w:val="decimal"/>
      <w:lvlText w:val="%7."/>
      <w:lvlJc w:val="left"/>
      <w:pPr>
        <w:ind w:left="5040" w:hanging="360"/>
      </w:pPr>
    </w:lvl>
    <w:lvl w:ilvl="7" w:tplc="77A6948C">
      <w:start w:val="1"/>
      <w:numFmt w:val="lowerLetter"/>
      <w:lvlText w:val="%8."/>
      <w:lvlJc w:val="left"/>
      <w:pPr>
        <w:ind w:left="5760" w:hanging="360"/>
      </w:pPr>
    </w:lvl>
    <w:lvl w:ilvl="8" w:tplc="5D9CA71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E1F8A"/>
    <w:multiLevelType w:val="hybridMultilevel"/>
    <w:tmpl w:val="D2C6B1A6"/>
    <w:lvl w:ilvl="0" w:tplc="35AEADE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2"/>
  </w:num>
  <w:num w:numId="5">
    <w:abstractNumId w:val="13"/>
  </w:num>
  <w:num w:numId="6">
    <w:abstractNumId w:val="5"/>
  </w:num>
  <w:num w:numId="7">
    <w:abstractNumId w:val="18"/>
  </w:num>
  <w:num w:numId="8">
    <w:abstractNumId w:val="0"/>
  </w:num>
  <w:num w:numId="9">
    <w:abstractNumId w:val="9"/>
  </w:num>
  <w:num w:numId="10">
    <w:abstractNumId w:val="14"/>
  </w:num>
  <w:num w:numId="11">
    <w:abstractNumId w:val="10"/>
  </w:num>
  <w:num w:numId="12">
    <w:abstractNumId w:val="17"/>
  </w:num>
  <w:num w:numId="13">
    <w:abstractNumId w:val="6"/>
  </w:num>
  <w:num w:numId="14">
    <w:abstractNumId w:val="15"/>
  </w:num>
  <w:num w:numId="15">
    <w:abstractNumId w:val="16"/>
  </w:num>
  <w:num w:numId="16">
    <w:abstractNumId w:val="3"/>
  </w:num>
  <w:num w:numId="17">
    <w:abstractNumId w:val="7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D6393"/>
    <w:rsid w:val="001543BE"/>
    <w:rsid w:val="00156D22"/>
    <w:rsid w:val="00186502"/>
    <w:rsid w:val="0019346E"/>
    <w:rsid w:val="001E1E50"/>
    <w:rsid w:val="001F4E0B"/>
    <w:rsid w:val="00205445"/>
    <w:rsid w:val="00230F2C"/>
    <w:rsid w:val="002356A3"/>
    <w:rsid w:val="0024319D"/>
    <w:rsid w:val="0028775D"/>
    <w:rsid w:val="00287BD9"/>
    <w:rsid w:val="00293C35"/>
    <w:rsid w:val="00337B29"/>
    <w:rsid w:val="0039771F"/>
    <w:rsid w:val="004041F9"/>
    <w:rsid w:val="00465741"/>
    <w:rsid w:val="004900D0"/>
    <w:rsid w:val="004D26A7"/>
    <w:rsid w:val="004D4C70"/>
    <w:rsid w:val="004D5B32"/>
    <w:rsid w:val="0050195B"/>
    <w:rsid w:val="00512C58"/>
    <w:rsid w:val="0051559B"/>
    <w:rsid w:val="00517FF8"/>
    <w:rsid w:val="0052406D"/>
    <w:rsid w:val="00565F44"/>
    <w:rsid w:val="00587DEC"/>
    <w:rsid w:val="005F3EDD"/>
    <w:rsid w:val="006B06FC"/>
    <w:rsid w:val="006C0D59"/>
    <w:rsid w:val="006D3C31"/>
    <w:rsid w:val="006F3CF7"/>
    <w:rsid w:val="00703CFF"/>
    <w:rsid w:val="00725452"/>
    <w:rsid w:val="0073330B"/>
    <w:rsid w:val="00811152"/>
    <w:rsid w:val="00811D6B"/>
    <w:rsid w:val="008164A9"/>
    <w:rsid w:val="00846793"/>
    <w:rsid w:val="00896872"/>
    <w:rsid w:val="008C10AC"/>
    <w:rsid w:val="00926573"/>
    <w:rsid w:val="009342A8"/>
    <w:rsid w:val="0095346A"/>
    <w:rsid w:val="00986E40"/>
    <w:rsid w:val="00990956"/>
    <w:rsid w:val="00A65D76"/>
    <w:rsid w:val="00A71050"/>
    <w:rsid w:val="00A7195E"/>
    <w:rsid w:val="00AB01D9"/>
    <w:rsid w:val="00AC582F"/>
    <w:rsid w:val="00AE5DDF"/>
    <w:rsid w:val="00B21529"/>
    <w:rsid w:val="00BB1AE4"/>
    <w:rsid w:val="00BC3EE5"/>
    <w:rsid w:val="00BE09BF"/>
    <w:rsid w:val="00BF57B1"/>
    <w:rsid w:val="00C17029"/>
    <w:rsid w:val="00C75085"/>
    <w:rsid w:val="00C80095"/>
    <w:rsid w:val="00CB0456"/>
    <w:rsid w:val="00D25B6B"/>
    <w:rsid w:val="00D81102"/>
    <w:rsid w:val="00DB3DC6"/>
    <w:rsid w:val="00DC266C"/>
    <w:rsid w:val="00DD799C"/>
    <w:rsid w:val="00E15514"/>
    <w:rsid w:val="00F55BED"/>
    <w:rsid w:val="00F82423"/>
    <w:rsid w:val="00F9011C"/>
    <w:rsid w:val="00FA1AC7"/>
    <w:rsid w:val="00FC3659"/>
    <w:rsid w:val="0125AB36"/>
    <w:rsid w:val="0525C213"/>
    <w:rsid w:val="09246DFF"/>
    <w:rsid w:val="10C25B17"/>
    <w:rsid w:val="1232A9CD"/>
    <w:rsid w:val="214A291D"/>
    <w:rsid w:val="3747EB23"/>
    <w:rsid w:val="3B04EC34"/>
    <w:rsid w:val="3B9A7378"/>
    <w:rsid w:val="46C12585"/>
    <w:rsid w:val="4B2F2F58"/>
    <w:rsid w:val="505091DF"/>
    <w:rsid w:val="51E92917"/>
    <w:rsid w:val="57642902"/>
    <w:rsid w:val="5F28E7EE"/>
    <w:rsid w:val="5FB8B3D5"/>
    <w:rsid w:val="60BB1B55"/>
    <w:rsid w:val="616F032E"/>
    <w:rsid w:val="653BC5DD"/>
    <w:rsid w:val="6FFA6AB6"/>
    <w:rsid w:val="7524FC85"/>
    <w:rsid w:val="7C8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8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8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8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8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aliases w:val="TOC style,lp1,Bullet List,FooterText,List Paragraph1,Use Case List Paragraph,lp11,Bullet OSM,Proposal Bullet List,Sub bullet,Table,Bulleted Text,1st Bullet Point,Content,Barclays Question,List Paragraph;List 1.0,List 1.0,Bullet"/>
    <w:basedOn w:val="Normal"/>
    <w:link w:val="ListParagraphChar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NormalWeb">
    <w:name w:val="Normal (Web)"/>
    <w:basedOn w:val="Normal"/>
    <w:uiPriority w:val="99"/>
    <w:unhideWhenUsed/>
    <w:rsid w:val="004041F9"/>
    <w:pPr>
      <w:spacing w:before="100" w:beforeAutospacing="1" w:after="100" w:afterAutospacing="1"/>
    </w:pPr>
    <w:rPr>
      <w:rFonts w:ascii="Times New Roman" w:hAnsi="Times New Roman" w:eastAsiaTheme="minorEastAsia"/>
      <w:sz w:val="24"/>
      <w:lang w:val="en-GB" w:eastAsia="en-GB"/>
    </w:rPr>
  </w:style>
  <w:style w:type="character" w:styleId="ListParagraphChar" w:customStyle="1">
    <w:name w:val="List Paragraph Char"/>
    <w:aliases w:val="TOC style Char,lp1 Char,Bullet List Char,FooterText Char,List Paragraph1 Char,Use Case List Paragraph Char,lp11 Char,Bullet OSM Char,Proposal Bullet List Char,Sub bullet Char,Table Char,Bulleted Text Char,1st Bullet Point Char"/>
    <w:basedOn w:val="DefaultParagraphFont"/>
    <w:link w:val="ListParagraph"/>
    <w:uiPriority w:val="34"/>
    <w:rsid w:val="004041F9"/>
    <w:rPr>
      <w:rFonts w:ascii="Arial" w:hAnsi="Arial" w:eastAsia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7ba0489981bf4637" /><Relationship Type="http://schemas.openxmlformats.org/officeDocument/2006/relationships/hyperlink" Target="http://PUBLIC" TargetMode="External" Id="R860e078017be482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f699-db2e-4ae2-86f7-3221796bde68}"/>
      </w:docPartPr>
      <w:docPartBody>
        <w:p w14:paraId="616F032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18FFB5-90F7-4962-944D-6622AB904BE6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bd2bfab9-b88f-43fd-884a-4ac06451d99e"/>
    <ds:schemaRef ds:uri="http://schemas.microsoft.com/sharepoint/v4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9910025d-e348-4c50-82ae-211d8f55776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311A40-4C52-4B6A-97CA-86B51FB8E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bfab9-b88f-43fd-884a-4ac06451d99e"/>
    <ds:schemaRef ds:uri="9910025d-e348-4c50-82ae-211d8f557762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Service Down</dc:title>
  <dc:subject/>
  <dc:creator>Schill, Lawrence K.</dc:creator>
  <cp:keywords/>
  <dc:description/>
  <cp:lastModifiedBy>Kim, KyungIn</cp:lastModifiedBy>
  <cp:revision>58</cp:revision>
  <dcterms:created xsi:type="dcterms:W3CDTF">2018-10-08T03:48:00Z</dcterms:created>
  <dcterms:modified xsi:type="dcterms:W3CDTF">2019-02-19T21:08:54Z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  <property fmtid="{D5CDD505-2E9C-101B-9397-08002B2CF9AE}" pid="3" name="AuthorIds_UIVersion_3584">
    <vt:lpwstr>1306</vt:lpwstr>
  </property>
  <property fmtid="{D5CDD505-2E9C-101B-9397-08002B2CF9AE}" pid="4" name="AuthorIds_UIVersion_6656">
    <vt:lpwstr>1306</vt:lpwstr>
  </property>
</Properties>
</file>