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122647"/>
          <w:sz w:val="52"/>
        </w:rPr>
        <w:t>Product Capabilities</w:t>
      </w:r>
    </w:p>
    <w:p>
      <w:r>
        <w:rPr>
          <w:b/>
          <w:color w:val="1B3A6B"/>
          <w:sz w:val="26"/>
        </w:rPr>
        <w:t>New Product Development Capabilities and Capacities — SurvAIve PH</w:t>
      </w:r>
    </w:p>
    <w:p>
      <w:r>
        <w:rPr>
          <w:i/>
          <w:color w:val="4B5563"/>
          <w:sz w:val="20"/>
        </w:rPr>
        <w:t>Prepared in support of an Intellectual Property Rights application with the Intellectual Property Office of the Philippines (IPOPHL)</w:t>
      </w:r>
    </w:p>
    <w:p>
      <w:r>
        <w:rPr>
          <w:color w:val="4B5563"/>
          <w:sz w:val="19"/>
        </w:rPr>
        <w:t>MSIT Capstone Project  |  Proponent(s): [Proponent Name(s)]  |  Adviser: [Adviser Name]  |  Date: [Defense Date]</w:t>
      </w:r>
    </w:p>
    <w:p>
      <w:pPr>
        <w:pBdr>
          <w:bottom w:val="single" w:sz="12" w:space="1" w:color="1B3A6B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rPr>
          <w:trHeight w:val="520"/>
        </w:trPr>
        <w:tc>
          <w:tcPr>
            <w:tcW w:type="dxa" w:w="12960"/>
            <w:shd w:val="clear" w:color="auto" w:fill="1B3A6B"/>
          </w:tcPr>
          <w:p>
            <w:r/>
            <w:r>
              <w:rPr>
                <w:b/>
                <w:i w:val="0"/>
                <w:color w:val="FFFFFF"/>
                <w:sz w:val="24"/>
              </w:rPr>
              <w:t>CORE BENEFITS SOUGHT, MAPPED TO TANGIBLE FEATURES (✓ = FEATURE DELIVERS THIS BENEFIT)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F1 — Offline-First Local Persistence (IndexedDB)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F2 — Mesh Networking: BLE / Wi-Fi Direct / WebRTC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F3 — AI-Based Rescue Prioritization Engine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F4 — Intelligent Resource Allocation Engine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F5 — Real-Time Situational Dashboards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F6 — SOS &amp; Incident Reporting Module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F7 — Role-Based Access (4 roles)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F8 — Constituent &amp; Safety Registry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F9 — Opportunistic Data Sync &amp; Conflict Resolution</w:t>
            </w:r>
          </w:p>
        </w:tc>
        <w:tc>
          <w:tcPr>
            <w:tcW w:type="dxa" w:w="1512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F10 — PHP/MySQL Multi-Role Backend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4752"/>
            <w:shd w:val="clear" w:color="auto" w:fill="122647"/>
          </w:tcPr>
          <w:p>
            <w:r/>
            <w:r>
              <w:rPr>
                <w:b/>
                <w:i w:val="0"/>
                <w:color w:val="FFFFFF"/>
                <w:sz w:val="18"/>
              </w:rPr>
              <w:t>Core Benefit Sought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F2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F3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F4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F5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F6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F7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F8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F9</w:t>
            </w:r>
          </w:p>
        </w:tc>
        <w:tc>
          <w:tcPr>
            <w:tcW w:type="dxa" w:w="893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F10</w:t>
            </w:r>
          </w:p>
        </w:tc>
        <w:tc>
          <w:tcPr>
            <w:tcW w:type="dxa" w:w="1584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Should-Cost Price</w:t>
            </w:r>
          </w:p>
        </w:tc>
      </w:tr>
      <w:tr>
        <w:tc>
          <w:tcPr>
            <w:tcW w:type="dxa" w:w="4752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Continuity of communication during connectivity loss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158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180,000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Faster first-response and rescue dispatch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220,000</w:t>
            </w:r>
          </w:p>
        </w:tc>
      </w:tr>
      <w:tr>
        <w:tc>
          <w:tcPr>
            <w:tcW w:type="dxa" w:w="4752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Reduced manual, error-prone reporting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158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90,000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Data-driven decision-making for LGU/DOST admins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150,000</w:t>
            </w:r>
          </w:p>
        </w:tc>
      </w:tr>
      <w:tr>
        <w:tc>
          <w:tcPr>
            <w:tcW w:type="dxa" w:w="4752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Transparency and accountability in response operations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158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80,000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Scalability from barangay to provincial/national level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200,000</w:t>
            </w:r>
          </w:p>
        </w:tc>
      </w:tr>
      <w:tr>
        <w:tc>
          <w:tcPr>
            <w:tcW w:type="dxa" w:w="4752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Affordable deployment for budget-constrained LGUs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158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60,000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Citizen empowerment and community resilience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  <w:t>✓</w:t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893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B3A6B"/>
                <w:sz w:val="22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PHP 70,000</w:t>
            </w:r>
          </w:p>
        </w:tc>
      </w:tr>
    </w:tbl>
    <w:p/>
    <w:p>
      <w:pPr>
        <w:spacing w:after="200"/>
      </w:pPr>
      <w:r>
        <w:rPr>
          <w:color w:val="1F2937"/>
          <w:sz w:val="18"/>
        </w:rPr>
        <w:t>Should-cost price reflects the indicative development effort (proponent labor, cloud/hosting, device testing, and third-party API costs) attributable to delivering each core benefit, expressed in Philippine pesos for academic capstone budgeting purposes; figures are estimates for planning and IP documentation, not final commercial pricing.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