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E3719D" w14:textId="5CCE6874" w:rsidR="00177915" w:rsidRDefault="00BA25B9" w:rsidP="007D553D">
      <w:pPr>
        <w:pStyle w:val="Heading1"/>
        <w:rPr>
          <w:rFonts w:asciiTheme="minorHAnsi" w:hAnsiTheme="minorHAnsi" w:cstheme="minorHAnsi"/>
        </w:rPr>
      </w:pPr>
      <w:r w:rsidRPr="00C2603C">
        <w:rPr>
          <w:rFonts w:asciiTheme="minorHAnsi" w:hAnsiTheme="minorHAnsi" w:cstheme="minorHAnsi"/>
        </w:rPr>
        <w:t xml:space="preserve">CS 405 Project Two </w:t>
      </w:r>
      <w:r w:rsidR="00462C83">
        <w:rPr>
          <w:rFonts w:asciiTheme="minorHAnsi" w:hAnsiTheme="minorHAnsi" w:cstheme="minorHAnsi"/>
        </w:rPr>
        <w:t>Security Policy Presentation</w:t>
      </w:r>
    </w:p>
    <w:p w14:paraId="48EC4305" w14:textId="77777777" w:rsidR="00C80635" w:rsidRPr="00C80635" w:rsidRDefault="00C80635" w:rsidP="00C80635"/>
    <w:p w14:paraId="4CFDCC61" w14:textId="20EE91CC" w:rsidR="00462C83" w:rsidRDefault="00462C83" w:rsidP="00C80635">
      <w:pPr>
        <w:spacing w:line="240" w:lineRule="auto"/>
        <w:jc w:val="center"/>
      </w:pPr>
      <w:r>
        <w:t>Mark Hall</w:t>
      </w:r>
    </w:p>
    <w:p w14:paraId="1D8A85EE" w14:textId="63CFCD37" w:rsidR="007D553D" w:rsidRPr="00462C83" w:rsidRDefault="00462C83" w:rsidP="00C80635">
      <w:pPr>
        <w:spacing w:line="240" w:lineRule="auto"/>
        <w:jc w:val="center"/>
      </w:pPr>
      <w:r>
        <w:t>Oct 15, 2024</w:t>
      </w:r>
    </w:p>
    <w:p w14:paraId="40FB2638" w14:textId="02B67B3D" w:rsidR="00462C83" w:rsidRDefault="004D4605" w:rsidP="00C80635">
      <w:pPr>
        <w:suppressAutoHyphens/>
        <w:spacing w:after="0" w:line="240" w:lineRule="auto"/>
        <w:jc w:val="center"/>
        <w:rPr>
          <w:rFonts w:asciiTheme="minorHAnsi" w:hAnsiTheme="minorHAnsi" w:cstheme="minorHAnsi"/>
          <w:b/>
        </w:rPr>
      </w:pPr>
      <w:hyperlink r:id="rId10" w:history="1">
        <w:r w:rsidRPr="001C6902">
          <w:rPr>
            <w:rStyle w:val="Hyperlink"/>
            <w:rFonts w:asciiTheme="minorHAnsi" w:hAnsiTheme="minorHAnsi" w:cstheme="minorHAnsi"/>
            <w:b/>
          </w:rPr>
          <w:t>https://youtu.be/gxB</w:t>
        </w:r>
        <w:r w:rsidRPr="001C6902">
          <w:rPr>
            <w:rStyle w:val="Hyperlink"/>
            <w:rFonts w:asciiTheme="minorHAnsi" w:hAnsiTheme="minorHAnsi" w:cstheme="minorHAnsi"/>
            <w:b/>
          </w:rPr>
          <w:t>W</w:t>
        </w:r>
        <w:r w:rsidRPr="001C6902">
          <w:rPr>
            <w:rStyle w:val="Hyperlink"/>
            <w:rFonts w:asciiTheme="minorHAnsi" w:hAnsiTheme="minorHAnsi" w:cstheme="minorHAnsi"/>
            <w:b/>
          </w:rPr>
          <w:t>jQHubjQ</w:t>
        </w:r>
      </w:hyperlink>
    </w:p>
    <w:p w14:paraId="7915B712" w14:textId="77777777" w:rsidR="004D4605" w:rsidRPr="00C2603C" w:rsidRDefault="004D4605" w:rsidP="007D553D">
      <w:pPr>
        <w:suppressAutoHyphens/>
        <w:spacing w:after="0" w:line="240" w:lineRule="auto"/>
        <w:jc w:val="center"/>
        <w:rPr>
          <w:rFonts w:asciiTheme="minorHAnsi" w:hAnsiTheme="minorHAnsi" w:cstheme="minorHAnsi"/>
          <w:b/>
        </w:rPr>
      </w:pPr>
    </w:p>
    <w:tbl>
      <w:tblPr>
        <w:tblStyle w:val="a"/>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15"/>
        <w:gridCol w:w="7455"/>
      </w:tblGrid>
      <w:tr w:rsidR="00177915" w:rsidRPr="00C2603C" w14:paraId="35AE1259" w14:textId="77777777" w:rsidTr="007D553D">
        <w:trPr>
          <w:trHeight w:val="1373"/>
          <w:tblHeader/>
        </w:trPr>
        <w:tc>
          <w:tcPr>
            <w:tcW w:w="2115" w:type="dxa"/>
            <w:vAlign w:val="center"/>
          </w:tcPr>
          <w:p w14:paraId="4208F210" w14:textId="77777777" w:rsidR="00177915" w:rsidRPr="00C2603C" w:rsidRDefault="00BA25B9" w:rsidP="007D553D">
            <w:pPr>
              <w:suppressAutoHyphens/>
              <w:jc w:val="center"/>
              <w:rPr>
                <w:rFonts w:asciiTheme="minorHAnsi" w:hAnsiTheme="minorHAnsi" w:cstheme="minorHAnsi"/>
                <w:b/>
              </w:rPr>
            </w:pPr>
            <w:r w:rsidRPr="00C2603C">
              <w:rPr>
                <w:rFonts w:asciiTheme="minorHAnsi" w:hAnsiTheme="minorHAnsi" w:cstheme="minorHAnsi"/>
                <w:b/>
              </w:rPr>
              <w:t>Slide Number</w:t>
            </w:r>
          </w:p>
        </w:tc>
        <w:tc>
          <w:tcPr>
            <w:tcW w:w="7455" w:type="dxa"/>
            <w:vAlign w:val="center"/>
          </w:tcPr>
          <w:p w14:paraId="6C3B3005" w14:textId="77777777" w:rsidR="00177915" w:rsidRPr="00C2603C" w:rsidRDefault="00BA25B9" w:rsidP="007D553D">
            <w:pPr>
              <w:suppressAutoHyphens/>
              <w:jc w:val="center"/>
              <w:rPr>
                <w:rFonts w:asciiTheme="minorHAnsi" w:hAnsiTheme="minorHAnsi" w:cstheme="minorHAnsi"/>
                <w:b/>
              </w:rPr>
            </w:pPr>
            <w:r w:rsidRPr="00C2603C">
              <w:rPr>
                <w:rFonts w:asciiTheme="minorHAnsi" w:hAnsiTheme="minorHAnsi" w:cstheme="minorHAnsi"/>
                <w:b/>
              </w:rPr>
              <w:t>Narrative</w:t>
            </w:r>
          </w:p>
        </w:tc>
      </w:tr>
      <w:tr w:rsidR="00177915" w:rsidRPr="00C2603C" w14:paraId="1C716D72" w14:textId="77777777" w:rsidTr="007D553D">
        <w:trPr>
          <w:trHeight w:val="1296"/>
        </w:trPr>
        <w:tc>
          <w:tcPr>
            <w:tcW w:w="2115" w:type="dxa"/>
            <w:vAlign w:val="center"/>
          </w:tcPr>
          <w:p w14:paraId="7202B4C6" w14:textId="77777777" w:rsidR="00177915" w:rsidRPr="00C2603C" w:rsidRDefault="00BA25B9" w:rsidP="007D553D">
            <w:pPr>
              <w:suppressAutoHyphens/>
              <w:jc w:val="center"/>
              <w:rPr>
                <w:rFonts w:asciiTheme="minorHAnsi" w:hAnsiTheme="minorHAnsi" w:cstheme="minorHAnsi"/>
                <w:b/>
              </w:rPr>
            </w:pPr>
            <w:r w:rsidRPr="00C2603C">
              <w:rPr>
                <w:rFonts w:asciiTheme="minorHAnsi" w:hAnsiTheme="minorHAnsi" w:cstheme="minorHAnsi"/>
                <w:b/>
              </w:rPr>
              <w:t>1</w:t>
            </w:r>
          </w:p>
        </w:tc>
        <w:tc>
          <w:tcPr>
            <w:tcW w:w="7455" w:type="dxa"/>
          </w:tcPr>
          <w:p w14:paraId="6CDE04F7" w14:textId="159C3F12" w:rsidR="00177915" w:rsidRPr="00C2603C" w:rsidRDefault="00C2603C" w:rsidP="007D553D">
            <w:pPr>
              <w:suppressAutoHyphens/>
              <w:rPr>
                <w:rFonts w:asciiTheme="minorHAnsi" w:hAnsiTheme="minorHAnsi" w:cstheme="minorHAnsi"/>
              </w:rPr>
            </w:pPr>
            <w:r w:rsidRPr="00C2603C">
              <w:rPr>
                <w:rFonts w:asciiTheme="minorHAnsi" w:hAnsiTheme="minorHAnsi" w:cstheme="minorHAnsi"/>
              </w:rPr>
              <w:t>Welcome to this security policy presentation. Presented by: Mark Hall</w:t>
            </w:r>
          </w:p>
        </w:tc>
      </w:tr>
      <w:tr w:rsidR="00177915" w:rsidRPr="00C2603C" w14:paraId="389ED8C6" w14:textId="77777777" w:rsidTr="007D553D">
        <w:trPr>
          <w:trHeight w:val="1373"/>
        </w:trPr>
        <w:tc>
          <w:tcPr>
            <w:tcW w:w="2115" w:type="dxa"/>
            <w:vAlign w:val="center"/>
          </w:tcPr>
          <w:p w14:paraId="46806FAD" w14:textId="77777777" w:rsidR="00177915" w:rsidRPr="00C2603C" w:rsidRDefault="00BA25B9" w:rsidP="007D553D">
            <w:pPr>
              <w:suppressAutoHyphens/>
              <w:jc w:val="center"/>
              <w:rPr>
                <w:rFonts w:asciiTheme="minorHAnsi" w:hAnsiTheme="minorHAnsi" w:cstheme="minorHAnsi"/>
                <w:b/>
              </w:rPr>
            </w:pPr>
            <w:r w:rsidRPr="00C2603C">
              <w:rPr>
                <w:rFonts w:asciiTheme="minorHAnsi" w:hAnsiTheme="minorHAnsi" w:cstheme="minorHAnsi"/>
                <w:b/>
              </w:rPr>
              <w:t>2</w:t>
            </w:r>
          </w:p>
        </w:tc>
        <w:tc>
          <w:tcPr>
            <w:tcW w:w="7455" w:type="dxa"/>
          </w:tcPr>
          <w:p w14:paraId="484921B4" w14:textId="51D22EFD" w:rsidR="00177915" w:rsidRPr="00C2603C" w:rsidRDefault="00012517" w:rsidP="007D553D">
            <w:pPr>
              <w:suppressAutoHyphens/>
              <w:rPr>
                <w:rFonts w:asciiTheme="minorHAnsi" w:hAnsiTheme="minorHAnsi" w:cstheme="minorHAnsi"/>
              </w:rPr>
            </w:pPr>
            <w:r w:rsidRPr="00C2603C">
              <w:rPr>
                <w:rFonts w:asciiTheme="minorHAnsi" w:hAnsiTheme="minorHAnsi" w:cstheme="minorHAnsi"/>
                <w:color w:val="000000"/>
              </w:rPr>
              <w:t>This policy integrates security throughout all phases of software development. Our defense-in-depth approach adds multiple protective layers—covering physical, cloud, and network systems. The goal is to enforce secure coding, risk assessments, and encryption policies to maintain a resilient security posture for Green Pace.</w:t>
            </w:r>
          </w:p>
        </w:tc>
      </w:tr>
      <w:tr w:rsidR="00177915" w:rsidRPr="00C2603C" w14:paraId="60921BDE" w14:textId="77777777" w:rsidTr="007D553D">
        <w:trPr>
          <w:trHeight w:val="1296"/>
        </w:trPr>
        <w:tc>
          <w:tcPr>
            <w:tcW w:w="2115" w:type="dxa"/>
            <w:vAlign w:val="center"/>
          </w:tcPr>
          <w:p w14:paraId="40EEEA5D" w14:textId="77777777" w:rsidR="00177915" w:rsidRPr="00C2603C" w:rsidRDefault="00BA25B9" w:rsidP="007D553D">
            <w:pPr>
              <w:suppressAutoHyphens/>
              <w:jc w:val="center"/>
              <w:rPr>
                <w:rFonts w:asciiTheme="minorHAnsi" w:hAnsiTheme="minorHAnsi" w:cstheme="minorHAnsi"/>
                <w:b/>
              </w:rPr>
            </w:pPr>
            <w:r w:rsidRPr="00C2603C">
              <w:rPr>
                <w:rFonts w:asciiTheme="minorHAnsi" w:hAnsiTheme="minorHAnsi" w:cstheme="minorHAnsi"/>
                <w:b/>
              </w:rPr>
              <w:t>3</w:t>
            </w:r>
          </w:p>
        </w:tc>
        <w:tc>
          <w:tcPr>
            <w:tcW w:w="7455" w:type="dxa"/>
          </w:tcPr>
          <w:p w14:paraId="28A1C1BC" w14:textId="55884FCD" w:rsidR="00177915" w:rsidRPr="00C2603C" w:rsidRDefault="00012517" w:rsidP="007D553D">
            <w:pPr>
              <w:suppressAutoHyphens/>
              <w:rPr>
                <w:rFonts w:asciiTheme="minorHAnsi" w:hAnsiTheme="minorHAnsi" w:cstheme="minorHAnsi"/>
              </w:rPr>
            </w:pPr>
            <w:r w:rsidRPr="00C2603C">
              <w:rPr>
                <w:rFonts w:asciiTheme="minorHAnsi" w:hAnsiTheme="minorHAnsi" w:cstheme="minorHAnsi"/>
                <w:color w:val="000000"/>
              </w:rPr>
              <w:t xml:space="preserve">This matrix summarizes potential threats. We assess SQL injections and weak passwords as likely risks, making them a top focus. Prioritization also includes encryption gaps and improper access control. Though unlikely, we </w:t>
            </w:r>
            <w:proofErr w:type="gramStart"/>
            <w:r w:rsidRPr="00C2603C">
              <w:rPr>
                <w:rFonts w:asciiTheme="minorHAnsi" w:hAnsiTheme="minorHAnsi" w:cstheme="minorHAnsi"/>
                <w:color w:val="000000"/>
              </w:rPr>
              <w:t>monitor for</w:t>
            </w:r>
            <w:proofErr w:type="gramEnd"/>
            <w:r w:rsidRPr="00C2603C">
              <w:rPr>
                <w:rFonts w:asciiTheme="minorHAnsi" w:hAnsiTheme="minorHAnsi" w:cstheme="minorHAnsi"/>
                <w:color w:val="000000"/>
              </w:rPr>
              <w:t xml:space="preserve"> rare buffer overflows and race conditions as well.</w:t>
            </w:r>
          </w:p>
        </w:tc>
      </w:tr>
      <w:tr w:rsidR="00177915" w:rsidRPr="00C2603C" w14:paraId="3E69DF9E" w14:textId="77777777" w:rsidTr="007D553D">
        <w:trPr>
          <w:trHeight w:val="1373"/>
        </w:trPr>
        <w:tc>
          <w:tcPr>
            <w:tcW w:w="2115" w:type="dxa"/>
            <w:vAlign w:val="center"/>
          </w:tcPr>
          <w:p w14:paraId="6043F3EE" w14:textId="77777777" w:rsidR="00177915" w:rsidRPr="00C2603C" w:rsidRDefault="00BA25B9" w:rsidP="007D553D">
            <w:pPr>
              <w:suppressAutoHyphens/>
              <w:jc w:val="center"/>
              <w:rPr>
                <w:rFonts w:asciiTheme="minorHAnsi" w:hAnsiTheme="minorHAnsi" w:cstheme="minorHAnsi"/>
                <w:b/>
              </w:rPr>
            </w:pPr>
            <w:r w:rsidRPr="00C2603C">
              <w:rPr>
                <w:rFonts w:asciiTheme="minorHAnsi" w:hAnsiTheme="minorHAnsi" w:cstheme="minorHAnsi"/>
                <w:b/>
              </w:rPr>
              <w:t>4</w:t>
            </w:r>
          </w:p>
        </w:tc>
        <w:tc>
          <w:tcPr>
            <w:tcW w:w="7455" w:type="dxa"/>
          </w:tcPr>
          <w:p w14:paraId="29F1DAF6" w14:textId="01448A40" w:rsidR="00177915" w:rsidRPr="00C2603C" w:rsidRDefault="00012517" w:rsidP="007D553D">
            <w:pPr>
              <w:suppressAutoHyphens/>
              <w:rPr>
                <w:rFonts w:asciiTheme="minorHAnsi" w:hAnsiTheme="minorHAnsi" w:cstheme="minorHAnsi"/>
              </w:rPr>
            </w:pPr>
            <w:r w:rsidRPr="00C2603C">
              <w:rPr>
                <w:rFonts w:asciiTheme="minorHAnsi" w:hAnsiTheme="minorHAnsi" w:cstheme="minorHAnsi"/>
                <w:color w:val="000000"/>
              </w:rPr>
              <w:t xml:space="preserve">Our policy follows 10 core security principles that map directly to coding standards. For </w:t>
            </w:r>
            <w:proofErr w:type="gramStart"/>
            <w:r w:rsidRPr="00C2603C">
              <w:rPr>
                <w:rFonts w:asciiTheme="minorHAnsi" w:hAnsiTheme="minorHAnsi" w:cstheme="minorHAnsi"/>
                <w:color w:val="000000"/>
              </w:rPr>
              <w:t>example, ‘</w:t>
            </w:r>
            <w:proofErr w:type="gramEnd"/>
            <w:r w:rsidRPr="00C2603C">
              <w:rPr>
                <w:rFonts w:asciiTheme="minorHAnsi" w:hAnsiTheme="minorHAnsi" w:cstheme="minorHAnsi"/>
                <w:color w:val="000000"/>
              </w:rPr>
              <w:t>Validate Input Data’ aligns with preventing SQL injections and buffer overflows, while ‘Heed Compiler Warnings’ ensures early detection of potential bugs. This alignment ensures a secure development process.</w:t>
            </w:r>
          </w:p>
        </w:tc>
      </w:tr>
      <w:tr w:rsidR="00177915" w:rsidRPr="00C2603C" w14:paraId="58F717C1" w14:textId="77777777" w:rsidTr="007D553D">
        <w:trPr>
          <w:trHeight w:val="1296"/>
        </w:trPr>
        <w:tc>
          <w:tcPr>
            <w:tcW w:w="2115" w:type="dxa"/>
            <w:vAlign w:val="center"/>
          </w:tcPr>
          <w:p w14:paraId="7EB4787A" w14:textId="77777777" w:rsidR="00177915" w:rsidRPr="00C2603C" w:rsidRDefault="00BA25B9" w:rsidP="007D553D">
            <w:pPr>
              <w:suppressAutoHyphens/>
              <w:jc w:val="center"/>
              <w:rPr>
                <w:rFonts w:asciiTheme="minorHAnsi" w:hAnsiTheme="minorHAnsi" w:cstheme="minorHAnsi"/>
                <w:b/>
              </w:rPr>
            </w:pPr>
            <w:r w:rsidRPr="00C2603C">
              <w:rPr>
                <w:rFonts w:asciiTheme="minorHAnsi" w:hAnsiTheme="minorHAnsi" w:cstheme="minorHAnsi"/>
                <w:b/>
              </w:rPr>
              <w:t>5</w:t>
            </w:r>
          </w:p>
        </w:tc>
        <w:tc>
          <w:tcPr>
            <w:tcW w:w="7455" w:type="dxa"/>
          </w:tcPr>
          <w:p w14:paraId="6C7ED67B" w14:textId="112BA01E" w:rsidR="00177915" w:rsidRPr="00C2603C" w:rsidRDefault="00012517" w:rsidP="007D553D">
            <w:pPr>
              <w:suppressAutoHyphens/>
              <w:rPr>
                <w:rFonts w:asciiTheme="minorHAnsi" w:hAnsiTheme="minorHAnsi" w:cstheme="minorHAnsi"/>
              </w:rPr>
            </w:pPr>
            <w:r w:rsidRPr="00C2603C">
              <w:rPr>
                <w:rFonts w:asciiTheme="minorHAnsi" w:hAnsiTheme="minorHAnsi" w:cstheme="minorHAnsi"/>
                <w:color w:val="000000"/>
              </w:rPr>
              <w:t>We’ve prioritized our standards based on the severity of vulnerabilities they address. Input validation, encryption, and SQL injection prevention rank highest due to their potential impact. Medium-priority standards include safe memory practices and exception handling, critical for system stability.</w:t>
            </w:r>
          </w:p>
        </w:tc>
      </w:tr>
      <w:tr w:rsidR="00177915" w:rsidRPr="00C2603C" w14:paraId="1D6184BF" w14:textId="77777777" w:rsidTr="007D553D">
        <w:trPr>
          <w:trHeight w:val="1373"/>
        </w:trPr>
        <w:tc>
          <w:tcPr>
            <w:tcW w:w="2115" w:type="dxa"/>
            <w:vAlign w:val="center"/>
          </w:tcPr>
          <w:p w14:paraId="1A5736AF" w14:textId="77777777" w:rsidR="00177915" w:rsidRPr="00C2603C" w:rsidRDefault="00BA25B9" w:rsidP="007D553D">
            <w:pPr>
              <w:suppressAutoHyphens/>
              <w:jc w:val="center"/>
              <w:rPr>
                <w:rFonts w:asciiTheme="minorHAnsi" w:hAnsiTheme="minorHAnsi" w:cstheme="minorHAnsi"/>
                <w:b/>
              </w:rPr>
            </w:pPr>
            <w:r w:rsidRPr="00C2603C">
              <w:rPr>
                <w:rFonts w:asciiTheme="minorHAnsi" w:hAnsiTheme="minorHAnsi" w:cstheme="minorHAnsi"/>
                <w:b/>
              </w:rPr>
              <w:t>6</w:t>
            </w:r>
          </w:p>
        </w:tc>
        <w:tc>
          <w:tcPr>
            <w:tcW w:w="7455" w:type="dxa"/>
          </w:tcPr>
          <w:p w14:paraId="1ED99CCF" w14:textId="424A2C43" w:rsidR="00177915" w:rsidRPr="00C2603C" w:rsidRDefault="00012517" w:rsidP="007D553D">
            <w:pPr>
              <w:suppressAutoHyphens/>
              <w:rPr>
                <w:rFonts w:asciiTheme="minorHAnsi" w:hAnsiTheme="minorHAnsi" w:cstheme="minorHAnsi"/>
              </w:rPr>
            </w:pPr>
            <w:r w:rsidRPr="00C2603C">
              <w:rPr>
                <w:rFonts w:asciiTheme="minorHAnsi" w:hAnsiTheme="minorHAnsi" w:cstheme="minorHAnsi"/>
                <w:color w:val="000000"/>
              </w:rPr>
              <w:t>We apply encryption policies at three stages—data in flight, at rest, and in use. This ensures protection throughout the data lifecycle, minimizing exposure to unauthorized access or leaks.</w:t>
            </w:r>
          </w:p>
        </w:tc>
      </w:tr>
      <w:tr w:rsidR="00177915" w:rsidRPr="00C2603C" w14:paraId="19E871C4" w14:textId="77777777" w:rsidTr="007D553D">
        <w:trPr>
          <w:trHeight w:val="1296"/>
        </w:trPr>
        <w:tc>
          <w:tcPr>
            <w:tcW w:w="2115" w:type="dxa"/>
            <w:vAlign w:val="center"/>
          </w:tcPr>
          <w:p w14:paraId="412E5B2B" w14:textId="77777777" w:rsidR="00177915" w:rsidRPr="00C2603C" w:rsidRDefault="00BA25B9" w:rsidP="007D553D">
            <w:pPr>
              <w:suppressAutoHyphens/>
              <w:jc w:val="center"/>
              <w:rPr>
                <w:rFonts w:asciiTheme="minorHAnsi" w:hAnsiTheme="minorHAnsi" w:cstheme="minorHAnsi"/>
                <w:b/>
              </w:rPr>
            </w:pPr>
            <w:r w:rsidRPr="00C2603C">
              <w:rPr>
                <w:rFonts w:asciiTheme="minorHAnsi" w:hAnsiTheme="minorHAnsi" w:cstheme="minorHAnsi"/>
                <w:b/>
              </w:rPr>
              <w:lastRenderedPageBreak/>
              <w:t>7</w:t>
            </w:r>
          </w:p>
        </w:tc>
        <w:tc>
          <w:tcPr>
            <w:tcW w:w="7455" w:type="dxa"/>
          </w:tcPr>
          <w:p w14:paraId="2A6C5AE9" w14:textId="65CD11C3" w:rsidR="00177915" w:rsidRPr="00C2603C" w:rsidRDefault="00012517" w:rsidP="007D553D">
            <w:pPr>
              <w:suppressAutoHyphens/>
              <w:rPr>
                <w:rFonts w:asciiTheme="minorHAnsi" w:hAnsiTheme="minorHAnsi" w:cstheme="minorHAnsi"/>
              </w:rPr>
            </w:pPr>
            <w:r w:rsidRPr="00C2603C">
              <w:rPr>
                <w:rFonts w:asciiTheme="minorHAnsi" w:hAnsiTheme="minorHAnsi" w:cstheme="minorHAnsi"/>
                <w:color w:val="000000"/>
              </w:rPr>
              <w:t>Our policy enforces authentication, authorization, and accounting. This ensures only authorized users access the system, their actions are logged, and we have complete visibility into system activity.</w:t>
            </w:r>
          </w:p>
        </w:tc>
      </w:tr>
      <w:tr w:rsidR="00177915" w:rsidRPr="00C2603C" w14:paraId="1CB4AF40" w14:textId="77777777" w:rsidTr="007D553D">
        <w:trPr>
          <w:trHeight w:val="1296"/>
        </w:trPr>
        <w:tc>
          <w:tcPr>
            <w:tcW w:w="2115" w:type="dxa"/>
            <w:vAlign w:val="center"/>
          </w:tcPr>
          <w:p w14:paraId="05612CDF" w14:textId="77777777" w:rsidR="00177915" w:rsidRPr="00C2603C" w:rsidRDefault="00BA25B9" w:rsidP="007D553D">
            <w:pPr>
              <w:suppressAutoHyphens/>
              <w:jc w:val="center"/>
              <w:rPr>
                <w:rFonts w:asciiTheme="minorHAnsi" w:hAnsiTheme="minorHAnsi" w:cstheme="minorHAnsi"/>
                <w:b/>
              </w:rPr>
            </w:pPr>
            <w:r w:rsidRPr="00C2603C">
              <w:rPr>
                <w:rFonts w:asciiTheme="minorHAnsi" w:hAnsiTheme="minorHAnsi" w:cstheme="minorHAnsi"/>
                <w:b/>
              </w:rPr>
              <w:t>8</w:t>
            </w:r>
          </w:p>
        </w:tc>
        <w:tc>
          <w:tcPr>
            <w:tcW w:w="7455" w:type="dxa"/>
          </w:tcPr>
          <w:p w14:paraId="7C03111E" w14:textId="25E601F9" w:rsidR="00177915" w:rsidRPr="00C2603C" w:rsidRDefault="009B43C3" w:rsidP="007D553D">
            <w:pPr>
              <w:suppressAutoHyphens/>
              <w:rPr>
                <w:rFonts w:asciiTheme="minorHAnsi" w:hAnsiTheme="minorHAnsi" w:cstheme="minorHAnsi"/>
              </w:rPr>
            </w:pPr>
            <w:r w:rsidRPr="00C2603C">
              <w:rPr>
                <w:rFonts w:asciiTheme="minorHAnsi" w:hAnsiTheme="minorHAnsi" w:cstheme="minorHAnsi"/>
                <w:color w:val="000000"/>
              </w:rPr>
              <w:t>Unit testing plays a critical role in maintaining code quality and catching bugs early. By focusing on individual components, unit testing ensures that each piece of the application performs as expected before integration with other modules. This allows us to identify potential issues before they escalate.</w:t>
            </w:r>
          </w:p>
        </w:tc>
      </w:tr>
      <w:tr w:rsidR="00177915" w:rsidRPr="00C2603C" w14:paraId="16627A85" w14:textId="77777777" w:rsidTr="007D553D">
        <w:trPr>
          <w:trHeight w:val="1296"/>
        </w:trPr>
        <w:tc>
          <w:tcPr>
            <w:tcW w:w="2115" w:type="dxa"/>
            <w:vAlign w:val="center"/>
          </w:tcPr>
          <w:p w14:paraId="5AB3EDC2" w14:textId="77777777" w:rsidR="00177915" w:rsidRPr="00C2603C" w:rsidRDefault="00BA25B9" w:rsidP="007D553D">
            <w:pPr>
              <w:suppressAutoHyphens/>
              <w:jc w:val="center"/>
              <w:rPr>
                <w:rFonts w:asciiTheme="minorHAnsi" w:hAnsiTheme="minorHAnsi" w:cstheme="minorHAnsi"/>
                <w:b/>
              </w:rPr>
            </w:pPr>
            <w:r w:rsidRPr="00C2603C">
              <w:rPr>
                <w:rFonts w:asciiTheme="minorHAnsi" w:hAnsiTheme="minorHAnsi" w:cstheme="minorHAnsi"/>
                <w:b/>
              </w:rPr>
              <w:t>9</w:t>
            </w:r>
          </w:p>
        </w:tc>
        <w:tc>
          <w:tcPr>
            <w:tcW w:w="7455" w:type="dxa"/>
          </w:tcPr>
          <w:p w14:paraId="43B51E91" w14:textId="61715C93" w:rsidR="00177915" w:rsidRPr="00C2603C" w:rsidRDefault="004D2BE4" w:rsidP="007D553D">
            <w:pPr>
              <w:suppressAutoHyphens/>
              <w:rPr>
                <w:rFonts w:asciiTheme="minorHAnsi" w:hAnsiTheme="minorHAnsi" w:cstheme="minorHAnsi"/>
              </w:rPr>
            </w:pPr>
            <w:r w:rsidRPr="00C2603C">
              <w:rPr>
                <w:rFonts w:asciiTheme="minorHAnsi" w:hAnsiTheme="minorHAnsi" w:cstheme="minorHAnsi"/>
                <w:color w:val="000000"/>
              </w:rPr>
              <w:t>This test checks for valid input. We expect the system to process the input without errors. The test verifies that input handling functions correctly under normal conditions.</w:t>
            </w:r>
          </w:p>
        </w:tc>
      </w:tr>
      <w:tr w:rsidR="00177915" w:rsidRPr="00C2603C" w14:paraId="609CC02D" w14:textId="77777777" w:rsidTr="007D553D">
        <w:trPr>
          <w:trHeight w:val="1296"/>
        </w:trPr>
        <w:tc>
          <w:tcPr>
            <w:tcW w:w="2115" w:type="dxa"/>
            <w:vAlign w:val="center"/>
          </w:tcPr>
          <w:p w14:paraId="5B02EBA0" w14:textId="77777777" w:rsidR="00177915" w:rsidRPr="00C2603C" w:rsidRDefault="00BA25B9" w:rsidP="007D553D">
            <w:pPr>
              <w:suppressAutoHyphens/>
              <w:jc w:val="center"/>
              <w:rPr>
                <w:rFonts w:asciiTheme="minorHAnsi" w:hAnsiTheme="minorHAnsi" w:cstheme="minorHAnsi"/>
                <w:b/>
              </w:rPr>
            </w:pPr>
            <w:r w:rsidRPr="00C2603C">
              <w:rPr>
                <w:rFonts w:asciiTheme="minorHAnsi" w:hAnsiTheme="minorHAnsi" w:cstheme="minorHAnsi"/>
                <w:b/>
              </w:rPr>
              <w:t>10</w:t>
            </w:r>
          </w:p>
        </w:tc>
        <w:tc>
          <w:tcPr>
            <w:tcW w:w="7455" w:type="dxa"/>
          </w:tcPr>
          <w:p w14:paraId="1A163284" w14:textId="54F6E232" w:rsidR="00177915" w:rsidRPr="00C2603C" w:rsidRDefault="004D2BE4" w:rsidP="007D553D">
            <w:pPr>
              <w:suppressAutoHyphens/>
              <w:rPr>
                <w:rFonts w:asciiTheme="minorHAnsi" w:hAnsiTheme="minorHAnsi" w:cstheme="minorHAnsi"/>
              </w:rPr>
            </w:pPr>
            <w:r w:rsidRPr="00C2603C">
              <w:rPr>
                <w:rFonts w:asciiTheme="minorHAnsi" w:hAnsiTheme="minorHAnsi" w:cstheme="minorHAnsi"/>
                <w:color w:val="000000"/>
              </w:rPr>
              <w:t>This test introduces an SQL injection attempt to see if the input validation mechanisms can prevent it. The expected result is that the system rejects the input or neutralizes any malicious code, ensuring the database remains secure and unaffected.</w:t>
            </w:r>
          </w:p>
        </w:tc>
      </w:tr>
      <w:tr w:rsidR="00177915" w:rsidRPr="00C2603C" w14:paraId="35903F49" w14:textId="77777777" w:rsidTr="007D553D">
        <w:trPr>
          <w:trHeight w:val="1296"/>
        </w:trPr>
        <w:tc>
          <w:tcPr>
            <w:tcW w:w="2115" w:type="dxa"/>
            <w:vAlign w:val="center"/>
          </w:tcPr>
          <w:p w14:paraId="78857076" w14:textId="77777777" w:rsidR="00177915" w:rsidRPr="00C2603C" w:rsidRDefault="00BA25B9" w:rsidP="007D553D">
            <w:pPr>
              <w:suppressAutoHyphens/>
              <w:jc w:val="center"/>
              <w:rPr>
                <w:rFonts w:asciiTheme="minorHAnsi" w:hAnsiTheme="minorHAnsi" w:cstheme="minorHAnsi"/>
                <w:b/>
              </w:rPr>
            </w:pPr>
            <w:r w:rsidRPr="00C2603C">
              <w:rPr>
                <w:rFonts w:asciiTheme="minorHAnsi" w:hAnsiTheme="minorHAnsi" w:cstheme="minorHAnsi"/>
                <w:b/>
              </w:rPr>
              <w:t>11</w:t>
            </w:r>
          </w:p>
        </w:tc>
        <w:tc>
          <w:tcPr>
            <w:tcW w:w="7455" w:type="dxa"/>
          </w:tcPr>
          <w:p w14:paraId="32385135" w14:textId="3218272F" w:rsidR="00177915" w:rsidRPr="00C2603C" w:rsidRDefault="004D2BE4" w:rsidP="007D553D">
            <w:pPr>
              <w:suppressAutoHyphens/>
              <w:rPr>
                <w:rFonts w:asciiTheme="minorHAnsi" w:hAnsiTheme="minorHAnsi" w:cstheme="minorHAnsi"/>
              </w:rPr>
            </w:pPr>
            <w:r w:rsidRPr="00C2603C">
              <w:rPr>
                <w:rFonts w:asciiTheme="minorHAnsi" w:hAnsiTheme="minorHAnsi" w:cstheme="minorHAnsi"/>
                <w:color w:val="000000"/>
              </w:rPr>
              <w:t>In this test, we provide an empty input to verify how the system responds. The expected behavior is either rejecting the input with a proper error message or accepting it if empty input is valid for that context. This ensures the system gracefully handles such cases.</w:t>
            </w:r>
          </w:p>
        </w:tc>
      </w:tr>
      <w:tr w:rsidR="00177915" w:rsidRPr="00C2603C" w14:paraId="2637279C" w14:textId="77777777" w:rsidTr="007D553D">
        <w:trPr>
          <w:trHeight w:val="1296"/>
        </w:trPr>
        <w:tc>
          <w:tcPr>
            <w:tcW w:w="2115" w:type="dxa"/>
            <w:vAlign w:val="center"/>
          </w:tcPr>
          <w:p w14:paraId="79D8B5F9" w14:textId="77777777" w:rsidR="00177915" w:rsidRPr="00C2603C" w:rsidRDefault="00BA25B9" w:rsidP="007D553D">
            <w:pPr>
              <w:suppressAutoHyphens/>
              <w:jc w:val="center"/>
              <w:rPr>
                <w:rFonts w:asciiTheme="minorHAnsi" w:hAnsiTheme="minorHAnsi" w:cstheme="minorHAnsi"/>
                <w:b/>
              </w:rPr>
            </w:pPr>
            <w:r w:rsidRPr="00C2603C">
              <w:rPr>
                <w:rFonts w:asciiTheme="minorHAnsi" w:hAnsiTheme="minorHAnsi" w:cstheme="minorHAnsi"/>
                <w:b/>
              </w:rPr>
              <w:t>12</w:t>
            </w:r>
          </w:p>
        </w:tc>
        <w:tc>
          <w:tcPr>
            <w:tcW w:w="7455" w:type="dxa"/>
          </w:tcPr>
          <w:p w14:paraId="09CA053A" w14:textId="3CF78547" w:rsidR="00177915" w:rsidRPr="00C2603C" w:rsidRDefault="004D2BE4" w:rsidP="007D553D">
            <w:pPr>
              <w:suppressAutoHyphens/>
              <w:rPr>
                <w:rFonts w:asciiTheme="minorHAnsi" w:hAnsiTheme="minorHAnsi" w:cstheme="minorHAnsi"/>
              </w:rPr>
            </w:pPr>
            <w:r w:rsidRPr="00C2603C">
              <w:rPr>
                <w:rFonts w:asciiTheme="minorHAnsi" w:hAnsiTheme="minorHAnsi" w:cstheme="minorHAnsi"/>
                <w:color w:val="000000"/>
              </w:rPr>
              <w:t>This test uses special characters as input to test the application’s ability to sanitize and properly handle unexpected symbols. The system should either accept the input if it's valid or flag it as invalid, preventing unintended behavior or vulnerabilities.</w:t>
            </w:r>
          </w:p>
        </w:tc>
      </w:tr>
      <w:tr w:rsidR="00177915" w:rsidRPr="00C2603C" w14:paraId="040861A0" w14:textId="77777777" w:rsidTr="007D553D">
        <w:trPr>
          <w:trHeight w:val="1296"/>
        </w:trPr>
        <w:tc>
          <w:tcPr>
            <w:tcW w:w="2115" w:type="dxa"/>
            <w:vAlign w:val="center"/>
          </w:tcPr>
          <w:p w14:paraId="2CF76596" w14:textId="77777777" w:rsidR="00177915" w:rsidRPr="00C2603C" w:rsidRDefault="00BA25B9" w:rsidP="007D553D">
            <w:pPr>
              <w:suppressAutoHyphens/>
              <w:jc w:val="center"/>
              <w:rPr>
                <w:rFonts w:asciiTheme="minorHAnsi" w:hAnsiTheme="minorHAnsi" w:cstheme="minorHAnsi"/>
                <w:b/>
              </w:rPr>
            </w:pPr>
            <w:r w:rsidRPr="00C2603C">
              <w:rPr>
                <w:rFonts w:asciiTheme="minorHAnsi" w:hAnsiTheme="minorHAnsi" w:cstheme="minorHAnsi"/>
                <w:b/>
              </w:rPr>
              <w:t>13</w:t>
            </w:r>
          </w:p>
        </w:tc>
        <w:tc>
          <w:tcPr>
            <w:tcW w:w="7455" w:type="dxa"/>
          </w:tcPr>
          <w:p w14:paraId="2A010422" w14:textId="302E6C93" w:rsidR="00177915" w:rsidRPr="00C2603C" w:rsidRDefault="004D2BE4" w:rsidP="007D553D">
            <w:pPr>
              <w:suppressAutoHyphens/>
              <w:rPr>
                <w:rFonts w:asciiTheme="minorHAnsi" w:hAnsiTheme="minorHAnsi" w:cstheme="minorHAnsi"/>
              </w:rPr>
            </w:pPr>
            <w:r w:rsidRPr="00C2603C">
              <w:rPr>
                <w:rFonts w:asciiTheme="minorHAnsi" w:hAnsiTheme="minorHAnsi" w:cstheme="minorHAnsi"/>
                <w:color w:val="000000"/>
              </w:rPr>
              <w:t xml:space="preserve">Here, we provide a very long </w:t>
            </w:r>
            <w:proofErr w:type="gramStart"/>
            <w:r w:rsidRPr="00C2603C">
              <w:rPr>
                <w:rFonts w:asciiTheme="minorHAnsi" w:hAnsiTheme="minorHAnsi" w:cstheme="minorHAnsi"/>
                <w:color w:val="000000"/>
              </w:rPr>
              <w:t>string</w:t>
            </w:r>
            <w:proofErr w:type="gramEnd"/>
            <w:r w:rsidRPr="00C2603C">
              <w:rPr>
                <w:rFonts w:asciiTheme="minorHAnsi" w:hAnsiTheme="minorHAnsi" w:cstheme="minorHAnsi"/>
                <w:color w:val="000000"/>
              </w:rPr>
              <w:t xml:space="preserve"> to test the system's input handling limits. The goal is to ensure the application can either process or reject excessively long input without crashing or becoming unresponsive. This helps prevent buffer overflow vulnerabilities.</w:t>
            </w:r>
          </w:p>
        </w:tc>
      </w:tr>
      <w:tr w:rsidR="00177915" w:rsidRPr="00C2603C" w14:paraId="37616630" w14:textId="77777777" w:rsidTr="007D553D">
        <w:trPr>
          <w:trHeight w:val="1296"/>
        </w:trPr>
        <w:tc>
          <w:tcPr>
            <w:tcW w:w="2115" w:type="dxa"/>
            <w:vAlign w:val="center"/>
          </w:tcPr>
          <w:p w14:paraId="5095DF5C" w14:textId="77777777" w:rsidR="00177915" w:rsidRPr="00C2603C" w:rsidRDefault="00BA25B9" w:rsidP="007D553D">
            <w:pPr>
              <w:suppressAutoHyphens/>
              <w:jc w:val="center"/>
              <w:rPr>
                <w:rFonts w:asciiTheme="minorHAnsi" w:hAnsiTheme="minorHAnsi" w:cstheme="minorHAnsi"/>
                <w:b/>
              </w:rPr>
            </w:pPr>
            <w:r w:rsidRPr="00C2603C">
              <w:rPr>
                <w:rFonts w:asciiTheme="minorHAnsi" w:hAnsiTheme="minorHAnsi" w:cstheme="minorHAnsi"/>
                <w:b/>
              </w:rPr>
              <w:t>14</w:t>
            </w:r>
          </w:p>
        </w:tc>
        <w:tc>
          <w:tcPr>
            <w:tcW w:w="7455" w:type="dxa"/>
          </w:tcPr>
          <w:p w14:paraId="5196FCDE" w14:textId="40F3A591" w:rsidR="004D2BE4" w:rsidRPr="00C2603C" w:rsidRDefault="004D2BE4" w:rsidP="007D553D">
            <w:pPr>
              <w:suppressAutoHyphens/>
              <w:rPr>
                <w:rFonts w:asciiTheme="minorHAnsi" w:hAnsiTheme="minorHAnsi" w:cstheme="minorHAnsi"/>
              </w:rPr>
            </w:pPr>
            <w:r w:rsidRPr="00C2603C">
              <w:rPr>
                <w:rFonts w:asciiTheme="minorHAnsi" w:hAnsiTheme="minorHAnsi" w:cstheme="minorHAnsi"/>
                <w:color w:val="000000"/>
              </w:rPr>
              <w:t>In this test, we simulate a buffer overflow attempt by providing input larger than the system can handle. The expected behavior is for the system to block the input and handle it safely without causing any memory corruption or crashes, ensuring stability.</w:t>
            </w:r>
          </w:p>
          <w:p w14:paraId="20A6BB05" w14:textId="77777777" w:rsidR="004D2BE4" w:rsidRPr="00C2603C" w:rsidRDefault="004D2BE4" w:rsidP="007D553D">
            <w:pPr>
              <w:suppressAutoHyphens/>
              <w:rPr>
                <w:rFonts w:asciiTheme="minorHAnsi" w:hAnsiTheme="minorHAnsi" w:cstheme="minorHAnsi"/>
              </w:rPr>
            </w:pPr>
          </w:p>
        </w:tc>
      </w:tr>
      <w:tr w:rsidR="004D2BE4" w:rsidRPr="00C2603C" w14:paraId="47F10BE8" w14:textId="77777777" w:rsidTr="007D553D">
        <w:trPr>
          <w:trHeight w:val="1296"/>
        </w:trPr>
        <w:tc>
          <w:tcPr>
            <w:tcW w:w="2115" w:type="dxa"/>
            <w:vAlign w:val="center"/>
          </w:tcPr>
          <w:p w14:paraId="6538EB74" w14:textId="28F3EEEA" w:rsidR="004D2BE4" w:rsidRPr="00C2603C" w:rsidRDefault="004D2BE4" w:rsidP="007D553D">
            <w:pPr>
              <w:suppressAutoHyphens/>
              <w:jc w:val="center"/>
              <w:rPr>
                <w:rFonts w:asciiTheme="minorHAnsi" w:hAnsiTheme="minorHAnsi" w:cstheme="minorHAnsi"/>
                <w:b/>
              </w:rPr>
            </w:pPr>
            <w:r w:rsidRPr="00C2603C">
              <w:rPr>
                <w:rFonts w:asciiTheme="minorHAnsi" w:hAnsiTheme="minorHAnsi" w:cstheme="minorHAnsi"/>
                <w:b/>
              </w:rPr>
              <w:lastRenderedPageBreak/>
              <w:t>15</w:t>
            </w:r>
          </w:p>
        </w:tc>
        <w:tc>
          <w:tcPr>
            <w:tcW w:w="7455" w:type="dxa"/>
          </w:tcPr>
          <w:p w14:paraId="53ADA71E" w14:textId="5C9B90E3" w:rsidR="004D2BE4" w:rsidRPr="00C2603C" w:rsidRDefault="004D2BE4" w:rsidP="007D553D">
            <w:pPr>
              <w:suppressAutoHyphens/>
              <w:rPr>
                <w:rFonts w:asciiTheme="minorHAnsi" w:hAnsiTheme="minorHAnsi" w:cstheme="minorHAnsi"/>
              </w:rPr>
            </w:pPr>
            <w:r w:rsidRPr="00C2603C">
              <w:rPr>
                <w:rFonts w:asciiTheme="minorHAnsi" w:hAnsiTheme="minorHAnsi" w:cstheme="minorHAnsi"/>
                <w:color w:val="000000"/>
              </w:rPr>
              <w:t xml:space="preserve">Automation is built into our </w:t>
            </w:r>
            <w:proofErr w:type="spellStart"/>
            <w:r w:rsidRPr="00C2603C">
              <w:rPr>
                <w:rFonts w:asciiTheme="minorHAnsi" w:hAnsiTheme="minorHAnsi" w:cstheme="minorHAnsi"/>
                <w:color w:val="000000"/>
              </w:rPr>
              <w:t>DevSecOps</w:t>
            </w:r>
            <w:proofErr w:type="spellEnd"/>
            <w:r w:rsidRPr="00C2603C">
              <w:rPr>
                <w:rFonts w:asciiTheme="minorHAnsi" w:hAnsiTheme="minorHAnsi" w:cstheme="minorHAnsi"/>
                <w:color w:val="000000"/>
              </w:rPr>
              <w:t xml:space="preserve"> pipeline. Tools like SonarQube handle static code analysis during development, while Splunk provides continuous monitoring after deployment.</w:t>
            </w:r>
          </w:p>
        </w:tc>
      </w:tr>
      <w:tr w:rsidR="004D2BE4" w:rsidRPr="00C2603C" w14:paraId="513BB3C7" w14:textId="77777777" w:rsidTr="007D553D">
        <w:trPr>
          <w:trHeight w:val="1296"/>
        </w:trPr>
        <w:tc>
          <w:tcPr>
            <w:tcW w:w="2115" w:type="dxa"/>
            <w:vAlign w:val="center"/>
          </w:tcPr>
          <w:p w14:paraId="61131C64" w14:textId="6D9848B0" w:rsidR="004D2BE4" w:rsidRPr="00C2603C" w:rsidRDefault="004D2BE4" w:rsidP="007D553D">
            <w:pPr>
              <w:suppressAutoHyphens/>
              <w:jc w:val="center"/>
              <w:rPr>
                <w:rFonts w:asciiTheme="minorHAnsi" w:hAnsiTheme="minorHAnsi" w:cstheme="minorHAnsi"/>
                <w:b/>
              </w:rPr>
            </w:pPr>
            <w:r w:rsidRPr="00C2603C">
              <w:rPr>
                <w:rFonts w:asciiTheme="minorHAnsi" w:hAnsiTheme="minorHAnsi" w:cstheme="minorHAnsi"/>
                <w:b/>
              </w:rPr>
              <w:t>16</w:t>
            </w:r>
          </w:p>
        </w:tc>
        <w:tc>
          <w:tcPr>
            <w:tcW w:w="7455" w:type="dxa"/>
          </w:tcPr>
          <w:p w14:paraId="35351A38" w14:textId="4D0E2D7A" w:rsidR="004D2BE4" w:rsidRPr="00C2603C" w:rsidRDefault="009B43C3" w:rsidP="007D553D">
            <w:pPr>
              <w:suppressAutoHyphens/>
              <w:rPr>
                <w:rFonts w:asciiTheme="minorHAnsi" w:hAnsiTheme="minorHAnsi" w:cstheme="minorHAnsi"/>
              </w:rPr>
            </w:pPr>
            <w:r w:rsidRPr="00C2603C">
              <w:rPr>
                <w:rFonts w:asciiTheme="minorHAnsi" w:hAnsiTheme="minorHAnsi" w:cstheme="minorHAnsi"/>
                <w:color w:val="000000"/>
              </w:rPr>
              <w:t xml:space="preserve">Our </w:t>
            </w:r>
            <w:proofErr w:type="spellStart"/>
            <w:r w:rsidRPr="00C2603C">
              <w:rPr>
                <w:rFonts w:asciiTheme="minorHAnsi" w:hAnsiTheme="minorHAnsi" w:cstheme="minorHAnsi"/>
                <w:color w:val="000000"/>
              </w:rPr>
              <w:t>DevSecOps</w:t>
            </w:r>
            <w:proofErr w:type="spellEnd"/>
            <w:r w:rsidRPr="00C2603C">
              <w:rPr>
                <w:rFonts w:asciiTheme="minorHAnsi" w:hAnsiTheme="minorHAnsi" w:cstheme="minorHAnsi"/>
                <w:color w:val="000000"/>
              </w:rPr>
              <w:t xml:space="preserve"> pipeline leverages automation tools at different stages to maintain security. SonarQube is integrated during the build phase for static code analysis</w:t>
            </w:r>
            <w:r w:rsidR="00C2603C">
              <w:rPr>
                <w:rFonts w:asciiTheme="minorHAnsi" w:hAnsiTheme="minorHAnsi" w:cstheme="minorHAnsi"/>
                <w:color w:val="000000"/>
              </w:rPr>
              <w:t xml:space="preserve"> to</w:t>
            </w:r>
            <w:r w:rsidRPr="00C2603C">
              <w:rPr>
                <w:rFonts w:asciiTheme="minorHAnsi" w:hAnsiTheme="minorHAnsi" w:cstheme="minorHAnsi"/>
                <w:color w:val="000000"/>
              </w:rPr>
              <w:t xml:space="preserve"> catch vulnerabilities early in development. Splunk or the ELK stack provides real-time monitoring and log management during production, allowing us to detect anomalies and respond to potential security incidents promptly.</w:t>
            </w:r>
          </w:p>
        </w:tc>
      </w:tr>
      <w:tr w:rsidR="004D2BE4" w:rsidRPr="00C2603C" w14:paraId="176589EB" w14:textId="77777777" w:rsidTr="007D553D">
        <w:trPr>
          <w:trHeight w:val="1296"/>
        </w:trPr>
        <w:tc>
          <w:tcPr>
            <w:tcW w:w="2115" w:type="dxa"/>
            <w:vAlign w:val="center"/>
          </w:tcPr>
          <w:p w14:paraId="17086E54" w14:textId="02D43958" w:rsidR="004D2BE4" w:rsidRPr="00C2603C" w:rsidRDefault="004D2BE4" w:rsidP="007D553D">
            <w:pPr>
              <w:suppressAutoHyphens/>
              <w:jc w:val="center"/>
              <w:rPr>
                <w:rFonts w:asciiTheme="minorHAnsi" w:hAnsiTheme="minorHAnsi" w:cstheme="minorHAnsi"/>
                <w:b/>
              </w:rPr>
            </w:pPr>
            <w:r w:rsidRPr="00C2603C">
              <w:rPr>
                <w:rFonts w:asciiTheme="minorHAnsi" w:hAnsiTheme="minorHAnsi" w:cstheme="minorHAnsi"/>
                <w:b/>
              </w:rPr>
              <w:t>17</w:t>
            </w:r>
          </w:p>
        </w:tc>
        <w:tc>
          <w:tcPr>
            <w:tcW w:w="7455" w:type="dxa"/>
          </w:tcPr>
          <w:p w14:paraId="28F459B2" w14:textId="381F0029" w:rsidR="009B43C3" w:rsidRPr="00C2603C" w:rsidRDefault="009B43C3" w:rsidP="009B43C3">
            <w:pPr>
              <w:rPr>
                <w:rFonts w:asciiTheme="minorHAnsi" w:eastAsia="Times New Roman" w:hAnsiTheme="minorHAnsi" w:cstheme="minorHAnsi"/>
              </w:rPr>
            </w:pPr>
            <w:r w:rsidRPr="00C2603C">
              <w:rPr>
                <w:rFonts w:asciiTheme="minorHAnsi" w:eastAsia="Times New Roman" w:hAnsiTheme="minorHAnsi" w:cstheme="minorHAnsi"/>
                <w:color w:val="000000"/>
              </w:rPr>
              <w:t>There are several challenges we need to address. Delaying security measures increases the risk of exploits, which could lead to breaches, financial losses, and damage to our reputation. Additionally, without continuous monitoring, vulnerabilities may go unnoticed, increasing system exposure over time.</w:t>
            </w:r>
          </w:p>
          <w:p w14:paraId="4121DCA1" w14:textId="77777777" w:rsidR="009B43C3" w:rsidRPr="00C2603C" w:rsidRDefault="009B43C3" w:rsidP="009B43C3">
            <w:pPr>
              <w:rPr>
                <w:rFonts w:asciiTheme="minorHAnsi" w:eastAsia="Times New Roman" w:hAnsiTheme="minorHAnsi" w:cstheme="minorHAnsi"/>
              </w:rPr>
            </w:pPr>
          </w:p>
          <w:p w14:paraId="4B19D398" w14:textId="3792D307" w:rsidR="009B43C3" w:rsidRPr="00C2603C" w:rsidRDefault="009B43C3" w:rsidP="009B43C3">
            <w:pPr>
              <w:rPr>
                <w:rFonts w:asciiTheme="minorHAnsi" w:eastAsia="Times New Roman" w:hAnsiTheme="minorHAnsi" w:cstheme="minorHAnsi"/>
              </w:rPr>
            </w:pPr>
            <w:r w:rsidRPr="00C2603C">
              <w:rPr>
                <w:rFonts w:asciiTheme="minorHAnsi" w:eastAsia="Times New Roman" w:hAnsiTheme="minorHAnsi" w:cstheme="minorHAnsi"/>
                <w:color w:val="000000"/>
              </w:rPr>
              <w:t>To address these issues, we propose the immediate integration of encryption, authentication, and authorization policies. Tools like SonarQube for static code analysis and Splunk for monitoring will ensure system integrity. However, adding these security measures will increase development time and setup complexity.</w:t>
            </w:r>
          </w:p>
          <w:p w14:paraId="397D4FA7" w14:textId="77777777" w:rsidR="004D2BE4" w:rsidRPr="00C2603C" w:rsidRDefault="004D2BE4" w:rsidP="007D553D">
            <w:pPr>
              <w:suppressAutoHyphens/>
              <w:rPr>
                <w:rFonts w:asciiTheme="minorHAnsi" w:hAnsiTheme="minorHAnsi" w:cstheme="minorHAnsi"/>
              </w:rPr>
            </w:pPr>
          </w:p>
        </w:tc>
      </w:tr>
      <w:tr w:rsidR="004D2BE4" w:rsidRPr="00C2603C" w14:paraId="2FF38855" w14:textId="77777777" w:rsidTr="007D553D">
        <w:trPr>
          <w:trHeight w:val="1296"/>
        </w:trPr>
        <w:tc>
          <w:tcPr>
            <w:tcW w:w="2115" w:type="dxa"/>
            <w:vAlign w:val="center"/>
          </w:tcPr>
          <w:p w14:paraId="2C649330" w14:textId="376350CF" w:rsidR="004D2BE4" w:rsidRPr="00C2603C" w:rsidRDefault="004D2BE4" w:rsidP="007D553D">
            <w:pPr>
              <w:suppressAutoHyphens/>
              <w:jc w:val="center"/>
              <w:rPr>
                <w:rFonts w:asciiTheme="minorHAnsi" w:hAnsiTheme="minorHAnsi" w:cstheme="minorHAnsi"/>
                <w:b/>
              </w:rPr>
            </w:pPr>
            <w:r w:rsidRPr="00C2603C">
              <w:rPr>
                <w:rFonts w:asciiTheme="minorHAnsi" w:hAnsiTheme="minorHAnsi" w:cstheme="minorHAnsi"/>
                <w:b/>
              </w:rPr>
              <w:t>18</w:t>
            </w:r>
          </w:p>
        </w:tc>
        <w:tc>
          <w:tcPr>
            <w:tcW w:w="7455" w:type="dxa"/>
          </w:tcPr>
          <w:p w14:paraId="3DB77B45" w14:textId="0A48E584" w:rsidR="009B43C3" w:rsidRPr="00C2603C" w:rsidRDefault="009B43C3" w:rsidP="009B43C3">
            <w:pPr>
              <w:rPr>
                <w:rFonts w:asciiTheme="minorHAnsi" w:eastAsia="Times New Roman" w:hAnsiTheme="minorHAnsi" w:cstheme="minorHAnsi"/>
              </w:rPr>
            </w:pPr>
            <w:r w:rsidRPr="00C2603C">
              <w:rPr>
                <w:rFonts w:asciiTheme="minorHAnsi" w:eastAsia="Times New Roman" w:hAnsiTheme="minorHAnsi" w:cstheme="minorHAnsi"/>
                <w:color w:val="000000"/>
              </w:rPr>
              <w:t>The benefits of acting now are clear. Early integration of security ensures compliance and provides long-term protection against potential attacks. It’s also more cost-effective to prevent issues now than to address breaches later.</w:t>
            </w:r>
          </w:p>
          <w:p w14:paraId="4300EBF8" w14:textId="77777777" w:rsidR="009B43C3" w:rsidRPr="00C2603C" w:rsidRDefault="009B43C3" w:rsidP="009B43C3">
            <w:pPr>
              <w:rPr>
                <w:rFonts w:asciiTheme="minorHAnsi" w:eastAsia="Times New Roman" w:hAnsiTheme="minorHAnsi" w:cstheme="minorHAnsi"/>
              </w:rPr>
            </w:pPr>
          </w:p>
          <w:p w14:paraId="15696422" w14:textId="2999B2B9" w:rsidR="009B43C3" w:rsidRPr="00C2603C" w:rsidRDefault="009B43C3" w:rsidP="009B43C3">
            <w:pPr>
              <w:rPr>
                <w:rFonts w:asciiTheme="minorHAnsi" w:eastAsia="Times New Roman" w:hAnsiTheme="minorHAnsi" w:cstheme="minorHAnsi"/>
              </w:rPr>
            </w:pPr>
            <w:r w:rsidRPr="00C2603C">
              <w:rPr>
                <w:rFonts w:asciiTheme="minorHAnsi" w:eastAsia="Times New Roman" w:hAnsiTheme="minorHAnsi" w:cstheme="minorHAnsi"/>
                <w:color w:val="000000"/>
              </w:rPr>
              <w:t>However, there are still gaps we need to address, such as ensuring comprehensive testing coverage at every stage of development. If we wait, the risks will grow, as vulnerabilities will remain unaddressed. To avoid this, we recommend integrating security tools immediately, conducting risk assessments to prioritize vulnerabilities, and providing team training in secure coding and tool usage.</w:t>
            </w:r>
          </w:p>
          <w:p w14:paraId="296F5A9A" w14:textId="77777777" w:rsidR="004D2BE4" w:rsidRPr="00C2603C" w:rsidRDefault="004D2BE4" w:rsidP="007D553D">
            <w:pPr>
              <w:suppressAutoHyphens/>
              <w:rPr>
                <w:rFonts w:asciiTheme="minorHAnsi" w:hAnsiTheme="minorHAnsi" w:cstheme="minorHAnsi"/>
              </w:rPr>
            </w:pPr>
          </w:p>
        </w:tc>
      </w:tr>
      <w:tr w:rsidR="004D2BE4" w:rsidRPr="00C2603C" w14:paraId="06B7B03B" w14:textId="77777777" w:rsidTr="007D553D">
        <w:trPr>
          <w:trHeight w:val="1296"/>
        </w:trPr>
        <w:tc>
          <w:tcPr>
            <w:tcW w:w="2115" w:type="dxa"/>
            <w:vAlign w:val="center"/>
          </w:tcPr>
          <w:p w14:paraId="6AEC5CCC" w14:textId="73DF9484" w:rsidR="004D2BE4" w:rsidRPr="00C2603C" w:rsidRDefault="004D2BE4" w:rsidP="007D553D">
            <w:pPr>
              <w:suppressAutoHyphens/>
              <w:jc w:val="center"/>
              <w:rPr>
                <w:rFonts w:asciiTheme="minorHAnsi" w:hAnsiTheme="minorHAnsi" w:cstheme="minorHAnsi"/>
                <w:b/>
              </w:rPr>
            </w:pPr>
            <w:r w:rsidRPr="00C2603C">
              <w:rPr>
                <w:rFonts w:asciiTheme="minorHAnsi" w:hAnsiTheme="minorHAnsi" w:cstheme="minorHAnsi"/>
                <w:b/>
              </w:rPr>
              <w:t>19</w:t>
            </w:r>
          </w:p>
        </w:tc>
        <w:tc>
          <w:tcPr>
            <w:tcW w:w="7455" w:type="dxa"/>
          </w:tcPr>
          <w:p w14:paraId="08B0EE6E" w14:textId="6F7C54B6" w:rsidR="004D2BE4" w:rsidRPr="00C2603C" w:rsidRDefault="004D2BE4" w:rsidP="007D553D">
            <w:pPr>
              <w:suppressAutoHyphens/>
              <w:rPr>
                <w:rFonts w:asciiTheme="minorHAnsi" w:hAnsiTheme="minorHAnsi" w:cstheme="minorHAnsi"/>
              </w:rPr>
            </w:pPr>
            <w:r w:rsidRPr="00C2603C">
              <w:rPr>
                <w:rFonts w:asciiTheme="minorHAnsi" w:hAnsiTheme="minorHAnsi" w:cstheme="minorHAnsi"/>
                <w:color w:val="000000"/>
              </w:rPr>
              <w:t>We recommend regular security training, improved incident response plans, and enhanced version control. Reviewing legacy code and updating encryption protocols will further strengthen our security posture.</w:t>
            </w:r>
          </w:p>
        </w:tc>
      </w:tr>
      <w:tr w:rsidR="004D2BE4" w:rsidRPr="00C2603C" w14:paraId="0E840039" w14:textId="77777777" w:rsidTr="007D553D">
        <w:trPr>
          <w:trHeight w:val="1296"/>
        </w:trPr>
        <w:tc>
          <w:tcPr>
            <w:tcW w:w="2115" w:type="dxa"/>
            <w:vAlign w:val="center"/>
          </w:tcPr>
          <w:p w14:paraId="674013FC" w14:textId="4B77A0E6" w:rsidR="004D2BE4" w:rsidRPr="00C2603C" w:rsidRDefault="004D2BE4" w:rsidP="007D553D">
            <w:pPr>
              <w:suppressAutoHyphens/>
              <w:jc w:val="center"/>
              <w:rPr>
                <w:rFonts w:asciiTheme="minorHAnsi" w:hAnsiTheme="minorHAnsi" w:cstheme="minorHAnsi"/>
                <w:b/>
              </w:rPr>
            </w:pPr>
            <w:r w:rsidRPr="00C2603C">
              <w:rPr>
                <w:rFonts w:asciiTheme="minorHAnsi" w:hAnsiTheme="minorHAnsi" w:cstheme="minorHAnsi"/>
                <w:b/>
              </w:rPr>
              <w:t>20</w:t>
            </w:r>
          </w:p>
        </w:tc>
        <w:tc>
          <w:tcPr>
            <w:tcW w:w="7455" w:type="dxa"/>
          </w:tcPr>
          <w:p w14:paraId="204B9446" w14:textId="79108346" w:rsidR="004D2BE4" w:rsidRPr="00C2603C" w:rsidRDefault="004D2BE4" w:rsidP="007D553D">
            <w:pPr>
              <w:suppressAutoHyphens/>
              <w:rPr>
                <w:rFonts w:asciiTheme="minorHAnsi" w:hAnsiTheme="minorHAnsi" w:cstheme="minorHAnsi"/>
              </w:rPr>
            </w:pPr>
            <w:r w:rsidRPr="00C2603C">
              <w:rPr>
                <w:rFonts w:asciiTheme="minorHAnsi" w:hAnsiTheme="minorHAnsi" w:cstheme="minorHAnsi"/>
                <w:color w:val="000000"/>
              </w:rPr>
              <w:t>In conclusion, secure coding standards, continuous integration of security tools, and strong access controls will help us stay ahead of potential vulnerabilities. Regular risk assessments will ensure ongoing compliance and readiness.</w:t>
            </w:r>
          </w:p>
        </w:tc>
      </w:tr>
    </w:tbl>
    <w:p w14:paraId="2E9A2232" w14:textId="77777777" w:rsidR="00177915" w:rsidRPr="00C2603C" w:rsidRDefault="00177915" w:rsidP="007D553D">
      <w:pPr>
        <w:suppressAutoHyphens/>
        <w:spacing w:after="0" w:line="240" w:lineRule="auto"/>
        <w:rPr>
          <w:rFonts w:asciiTheme="minorHAnsi" w:hAnsiTheme="minorHAnsi" w:cstheme="minorHAnsi"/>
          <w:b/>
        </w:rPr>
      </w:pPr>
    </w:p>
    <w:sectPr w:rsidR="00177915" w:rsidRPr="00C2603C">
      <w:head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FBC65D" w14:textId="77777777" w:rsidR="005B2801" w:rsidRDefault="005B2801" w:rsidP="007D553D">
      <w:pPr>
        <w:spacing w:after="0" w:line="240" w:lineRule="auto"/>
      </w:pPr>
      <w:r>
        <w:separator/>
      </w:r>
    </w:p>
  </w:endnote>
  <w:endnote w:type="continuationSeparator" w:id="0">
    <w:p w14:paraId="11CF269D" w14:textId="77777777" w:rsidR="005B2801" w:rsidRDefault="005B2801" w:rsidP="007D5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49CC5D" w14:textId="77777777" w:rsidR="005B2801" w:rsidRDefault="005B2801" w:rsidP="007D553D">
      <w:pPr>
        <w:spacing w:after="0" w:line="240" w:lineRule="auto"/>
      </w:pPr>
      <w:r>
        <w:separator/>
      </w:r>
    </w:p>
  </w:footnote>
  <w:footnote w:type="continuationSeparator" w:id="0">
    <w:p w14:paraId="4AD81F0D" w14:textId="77777777" w:rsidR="005B2801" w:rsidRDefault="005B2801" w:rsidP="007D55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DC6DC4" w14:textId="160ED5CB" w:rsidR="007D553D" w:rsidRDefault="003463DD" w:rsidP="007D553D">
    <w:pPr>
      <w:pStyle w:val="Header"/>
      <w:suppressAutoHyphens/>
      <w:spacing w:after="200"/>
      <w:jc w:val="center"/>
    </w:pPr>
    <w:r w:rsidRPr="00085B81">
      <w:rPr>
        <w:noProof/>
      </w:rPr>
      <w:drawing>
        <wp:inline distT="0" distB="0" distL="0" distR="0" wp14:anchorId="522C8B89" wp14:editId="11F1E8D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7915"/>
    <w:rsid w:val="00012517"/>
    <w:rsid w:val="00177915"/>
    <w:rsid w:val="0032543C"/>
    <w:rsid w:val="003463DD"/>
    <w:rsid w:val="00366AED"/>
    <w:rsid w:val="00462C83"/>
    <w:rsid w:val="004D2BE4"/>
    <w:rsid w:val="004D4605"/>
    <w:rsid w:val="005B2801"/>
    <w:rsid w:val="006224BE"/>
    <w:rsid w:val="006E1A56"/>
    <w:rsid w:val="00736215"/>
    <w:rsid w:val="007D553D"/>
    <w:rsid w:val="007F3162"/>
    <w:rsid w:val="008B4A86"/>
    <w:rsid w:val="008F3144"/>
    <w:rsid w:val="00962E40"/>
    <w:rsid w:val="009B43C3"/>
    <w:rsid w:val="00A77A51"/>
    <w:rsid w:val="00BA25B9"/>
    <w:rsid w:val="00C2603C"/>
    <w:rsid w:val="00C40CC2"/>
    <w:rsid w:val="00C80635"/>
    <w:rsid w:val="00E2741A"/>
    <w:rsid w:val="00E910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0FB253"/>
  <w15:docId w15:val="{47EA495F-09DC-41DF-B051-218173DE4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rsid w:val="007D553D"/>
    <w:pPr>
      <w:suppressAutoHyphens/>
      <w:spacing w:after="0" w:line="240" w:lineRule="auto"/>
      <w:jc w:val="center"/>
      <w:outlineLvl w:val="0"/>
    </w:pPr>
    <w:rPr>
      <w:b/>
      <w:sz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FE5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7D55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53D"/>
  </w:style>
  <w:style w:type="paragraph" w:styleId="Footer">
    <w:name w:val="footer"/>
    <w:basedOn w:val="Normal"/>
    <w:link w:val="FooterChar"/>
    <w:uiPriority w:val="99"/>
    <w:unhideWhenUsed/>
    <w:rsid w:val="007D55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53D"/>
  </w:style>
  <w:style w:type="character" w:styleId="Hyperlink">
    <w:name w:val="Hyperlink"/>
    <w:basedOn w:val="DefaultParagraphFont"/>
    <w:uiPriority w:val="99"/>
    <w:unhideWhenUsed/>
    <w:rsid w:val="007D553D"/>
    <w:rPr>
      <w:color w:val="0000FF"/>
      <w:u w:val="single"/>
    </w:rPr>
  </w:style>
  <w:style w:type="paragraph" w:styleId="NormalWeb">
    <w:name w:val="Normal (Web)"/>
    <w:basedOn w:val="Normal"/>
    <w:uiPriority w:val="99"/>
    <w:semiHidden/>
    <w:unhideWhenUsed/>
    <w:rsid w:val="009B43C3"/>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462C83"/>
    <w:rPr>
      <w:color w:val="605E5C"/>
      <w:shd w:val="clear" w:color="auto" w:fill="E1DFDD"/>
    </w:rPr>
  </w:style>
  <w:style w:type="character" w:styleId="FollowedHyperlink">
    <w:name w:val="FollowedHyperlink"/>
    <w:basedOn w:val="DefaultParagraphFont"/>
    <w:uiPriority w:val="99"/>
    <w:semiHidden/>
    <w:unhideWhenUsed/>
    <w:rsid w:val="004D460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6576628">
      <w:bodyDiv w:val="1"/>
      <w:marLeft w:val="0"/>
      <w:marRight w:val="0"/>
      <w:marTop w:val="0"/>
      <w:marBottom w:val="0"/>
      <w:divBdr>
        <w:top w:val="none" w:sz="0" w:space="0" w:color="auto"/>
        <w:left w:val="none" w:sz="0" w:space="0" w:color="auto"/>
        <w:bottom w:val="none" w:sz="0" w:space="0" w:color="auto"/>
        <w:right w:val="none" w:sz="0" w:space="0" w:color="auto"/>
      </w:divBdr>
    </w:div>
    <w:div w:id="13728788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youtu.be/gxBWjQHubjQ" TargetMode="External"/><Relationship Id="rId4" Type="http://schemas.openxmlformats.org/officeDocument/2006/relationships/customXml" Target="../customXml/item4.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ipca838ERk1T5KvmCtAkngt3LN7A==">AMUW2mXNb12Q5obP9BBk++5gYJE9trc8ICOgZyUXZr8QSklSEJYgDbKIIm9wW+/+mG/oAbSCdjEodA6WV8IHTdHcA32CAKwb0JALvK2x/kuGES3BiQLUbDw=</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1BE92F0-736A-485F-9F49-8447F22C4EBC}">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248FA902-3E86-40A4-A23F-F59576B398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A8BABCD-16D4-4705-B780-2889DD3D70D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Pages>
  <Words>889</Words>
  <Characters>5071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5949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Candice Wade</dc:creator>
  <cp:lastModifiedBy>Hall, Mark</cp:lastModifiedBy>
  <cp:revision>7</cp:revision>
  <dcterms:created xsi:type="dcterms:W3CDTF">2024-10-16T18:41:00Z</dcterms:created>
  <dcterms:modified xsi:type="dcterms:W3CDTF">2024-10-18T14:50:00Z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ies>
</file>