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jc w:val="start"/>
        <w:rPr/>
      </w:pPr>
      <w:r>
        <w:rPr>
          <w:rFonts w:eastAsia="Arial" w:cs="Arial"/>
          <w:b/>
          <w:bCs/>
          <w:color w:val="1F3864"/>
          <w:sz w:val="40"/>
          <w:szCs w:val="40"/>
        </w:rPr>
        <w:t>Cogniti</w:t>
      </w:r>
      <w:r>
        <w:rPr>
          <w:rFonts w:eastAsia="Arial" w:cs="Arial"/>
          <w:b/>
          <w:bCs/>
          <w:color w:val="1F3864"/>
          <w:sz w:val="40"/>
          <w:szCs w:val="40"/>
        </w:rPr>
        <w:t>on</w:t>
      </w:r>
      <w:r>
        <w:rPr>
          <w:rFonts w:eastAsia="Arial" w:cs="Arial"/>
          <w:b/>
          <w:bCs/>
          <w:color w:val="1F3864"/>
          <w:sz w:val="40"/>
          <w:szCs w:val="40"/>
        </w:rPr>
        <w:t xml:space="preserve"> Defense Mechanism</w:t>
      </w:r>
    </w:p>
    <w:p>
      <w:pPr>
        <w:pStyle w:val="Normal"/>
        <w:spacing w:before="0" w:after="60"/>
        <w:rPr/>
      </w:pPr>
      <w:r>
        <w:rPr>
          <w:rFonts w:eastAsia="Arial" w:cs="Arial"/>
          <w:i/>
          <w:iCs/>
          <w:color w:val="555555"/>
          <w:sz w:val="24"/>
          <w:szCs w:val="24"/>
        </w:rPr>
        <w:t>Outline Draft — Graded Writing Protocol</w:t>
      </w:r>
    </w:p>
    <w:p>
      <w:pPr>
        <w:pStyle w:val="Normal"/>
        <w:spacing w:before="0" w:after="240"/>
        <w:rPr/>
      </w:pPr>
      <w:r>
        <w:rPr>
          <w:rFonts w:eastAsia="Arial" w:cs="Arial"/>
          <w:color w:val="777777"/>
          <w:sz w:val="22"/>
          <w:szCs w:val="22"/>
        </w:rPr>
        <w:t>Mark Mellion | May 2026</w:t>
      </w:r>
    </w:p>
    <w:p>
      <w:pPr>
        <w:pStyle w:val="Heading1"/>
        <w:rPr/>
      </w:pPr>
      <w:r>
        <w:rPr>
          <w:rFonts w:eastAsia="Arial" w:cs="Arial" w:ascii="Arial" w:hAnsi="Arial"/>
          <w:b/>
          <w:bCs/>
          <w:sz w:val="32"/>
          <w:szCs w:val="32"/>
        </w:rPr>
        <w:t>1. Purpose</w:t>
      </w:r>
    </w:p>
    <w:p>
      <w:pPr>
        <w:pStyle w:val="Normal"/>
        <w:spacing w:before="0" w:after="120"/>
        <w:rPr/>
      </w:pPr>
      <w:r>
        <w:rPr>
          <w:rFonts w:eastAsia="Arial" w:cs="Arial"/>
          <w:sz w:val="24"/>
          <w:szCs w:val="24"/>
        </w:rPr>
        <w:t>The Cogniti</w:t>
      </w:r>
      <w:r>
        <w:rPr>
          <w:rFonts w:eastAsia="Arial" w:cs="Arial"/>
          <w:sz w:val="24"/>
          <w:szCs w:val="24"/>
        </w:rPr>
        <w:t>on</w:t>
      </w:r>
      <w:r>
        <w:rPr>
          <w:rFonts w:eastAsia="Arial" w:cs="Arial"/>
          <w:sz w:val="24"/>
          <w:szCs w:val="24"/>
        </w:rPr>
        <w:t xml:space="preserve"> Defense Mechanism (CDM) is the verification and accountability component of the Graded Writing Protocol (GWP). Its function is not primarily to catch fraud, but to provide a superior failure mode to the current state — in which academic dishonesty is either missed entirely or results in a misconduct accusation.  </w:t>
      </w:r>
      <w:r>
        <w:rPr>
          <w:rFonts w:eastAsia="Arial" w:cs="Arial"/>
          <w:sz w:val="24"/>
          <w:szCs w:val="24"/>
        </w:rPr>
        <w:t>It is not impossible such falls</w:t>
      </w:r>
      <w:r>
        <w:rPr>
          <w:rFonts w:eastAsia="Arial" w:cs="Arial"/>
          <w:sz w:val="24"/>
          <w:szCs w:val="24"/>
        </w:rPr>
        <w:t xml:space="preserve"> against a</w:t>
      </w:r>
      <w:r>
        <w:rPr>
          <w:rFonts w:eastAsia="Arial" w:cs="Arial"/>
          <w:sz w:val="24"/>
          <w:szCs w:val="24"/>
        </w:rPr>
        <w:t>n</w:t>
      </w:r>
      <w:r>
        <w:rPr>
          <w:rFonts w:eastAsia="Arial" w:cs="Arial"/>
          <w:sz w:val="24"/>
          <w:szCs w:val="24"/>
        </w:rPr>
        <w:t xml:space="preserve"> innocent student.</w:t>
      </w:r>
    </w:p>
    <w:p>
      <w:pPr>
        <w:pStyle w:val="Normal"/>
        <w:spacing w:before="0" w:after="120"/>
        <w:rPr/>
      </w:pPr>
      <w:r>
        <w:rPr/>
      </w:r>
    </w:p>
    <w:p>
      <w:pPr>
        <w:pStyle w:val="Normal"/>
        <w:spacing w:before="0" w:after="120"/>
        <w:rPr/>
      </w:pPr>
      <w:r>
        <w:rPr>
          <w:rFonts w:eastAsia="Arial" w:cs="Arial"/>
          <w:sz w:val="24"/>
          <w:szCs w:val="24"/>
        </w:rPr>
        <w:t>The CDM achieves this by making the oral defense the cognitive measurement. A student who used AI within GWP guidelines can demonstrate that the cognition in the submitted work is genuinely theirs. A student who did not — whether or not they can be proven to have cheated — is assessed in real time by the challenging party.</w:t>
      </w:r>
    </w:p>
    <w:p>
      <w:pPr>
        <w:pStyle w:val="Normal"/>
        <w:spacing w:before="0" w:after="120"/>
        <w:rPr/>
      </w:pPr>
      <w:r>
        <w:rPr/>
      </w:r>
    </w:p>
    <w:p>
      <w:pPr>
        <w:pStyle w:val="Heading1"/>
        <w:rPr/>
      </w:pPr>
      <w:r>
        <w:rPr>
          <w:rFonts w:eastAsia="Arial" w:cs="Arial" w:ascii="Arial" w:hAnsi="Arial"/>
          <w:b/>
          <w:bCs/>
          <w:sz w:val="32"/>
          <w:szCs w:val="32"/>
        </w:rPr>
        <w:t>2. Core Logic</w:t>
      </w:r>
    </w:p>
    <w:p>
      <w:pPr>
        <w:pStyle w:val="ListParagraph"/>
        <w:numPr>
          <w:ilvl w:val="0"/>
          <w:numId w:val="5"/>
        </w:numPr>
        <w:spacing w:before="0" w:after="80"/>
        <w:rPr/>
      </w:pPr>
      <w:r>
        <w:rPr>
          <w:rFonts w:eastAsia="Arial" w:cs="Arial"/>
          <w:b w:val="false"/>
          <w:bCs w:val="false"/>
          <w:sz w:val="24"/>
          <w:szCs w:val="24"/>
        </w:rPr>
        <w:t>The defense itself is the assessment.</w:t>
      </w:r>
    </w:p>
    <w:p>
      <w:pPr>
        <w:pStyle w:val="ListParagraph"/>
        <w:numPr>
          <w:ilvl w:val="0"/>
          <w:numId w:val="1"/>
        </w:numPr>
        <w:spacing w:before="0" w:after="80"/>
        <w:rPr/>
      </w:pPr>
      <w:r>
        <w:rPr>
          <w:rFonts w:eastAsia="Arial" w:cs="Arial"/>
          <w:b w:val="false"/>
          <w:bCs w:val="false"/>
          <w:sz w:val="24"/>
          <w:szCs w:val="24"/>
        </w:rPr>
        <w:t>Even if fraud occurred, a successful defense confirms the learning outcome was achieved.</w:t>
      </w:r>
    </w:p>
    <w:p>
      <w:pPr>
        <w:pStyle w:val="ListParagraph"/>
        <w:numPr>
          <w:ilvl w:val="0"/>
          <w:numId w:val="1"/>
        </w:numPr>
        <w:spacing w:before="0" w:after="80"/>
        <w:rPr/>
      </w:pPr>
      <w:r>
        <w:rPr>
          <w:rFonts w:eastAsia="Arial" w:cs="Arial"/>
          <w:b w:val="false"/>
          <w:bCs w:val="false"/>
          <w:sz w:val="24"/>
          <w:szCs w:val="24"/>
        </w:rPr>
        <w:t>The professor’s challenge becomes a live measurement tool, not merely an accusation.</w:t>
      </w:r>
    </w:p>
    <w:p>
      <w:pPr>
        <w:pStyle w:val="ListParagraph"/>
        <w:numPr>
          <w:ilvl w:val="0"/>
          <w:numId w:val="1"/>
        </w:numPr>
        <w:spacing w:before="0" w:after="80"/>
        <w:rPr/>
      </w:pPr>
      <w:r>
        <w:rPr>
          <w:rFonts w:eastAsia="Arial" w:cs="Arial"/>
          <w:b w:val="false"/>
          <w:bCs w:val="false"/>
          <w:sz w:val="24"/>
          <w:szCs w:val="24"/>
        </w:rPr>
        <w:t>False accusation of an innocent student is substantially mitigated by providing a clear exoneration path.</w:t>
      </w:r>
    </w:p>
    <w:p>
      <w:pPr>
        <w:pStyle w:val="Normal"/>
        <w:spacing w:before="0" w:after="120"/>
        <w:rPr/>
      </w:pPr>
      <w:r>
        <w:rPr/>
      </w:r>
    </w:p>
    <w:p>
      <w:pPr>
        <w:pStyle w:val="Heading1"/>
        <w:rPr/>
      </w:pPr>
      <w:r>
        <w:rPr>
          <w:rFonts w:eastAsia="Arial" w:cs="Arial" w:ascii="Arial" w:hAnsi="Arial"/>
          <w:b/>
          <w:bCs/>
          <w:sz w:val="32"/>
          <w:szCs w:val="32"/>
        </w:rPr>
        <w:t>3. Trigger Conditions</w:t>
      </w:r>
    </w:p>
    <w:p>
      <w:pPr>
        <w:pStyle w:val="Normal"/>
        <w:spacing w:before="0" w:after="120"/>
        <w:rPr/>
      </w:pPr>
      <w:r>
        <w:rPr>
          <w:rFonts w:eastAsia="Arial" w:cs="Arial"/>
          <w:sz w:val="24"/>
          <w:szCs w:val="24"/>
        </w:rPr>
        <w:t>A challenge may be initiated by:</w:t>
      </w:r>
    </w:p>
    <w:p>
      <w:pPr>
        <w:pStyle w:val="ListParagraph"/>
        <w:numPr>
          <w:ilvl w:val="0"/>
          <w:numId w:val="1"/>
        </w:numPr>
        <w:spacing w:before="0" w:after="80"/>
        <w:rPr/>
      </w:pPr>
      <w:r>
        <w:rPr>
          <w:rFonts w:eastAsia="Arial" w:cs="Arial"/>
          <w:b w:val="false"/>
          <w:bCs w:val="false"/>
          <w:sz w:val="24"/>
          <w:szCs w:val="24"/>
        </w:rPr>
        <w:t>The course professor</w:t>
      </w:r>
    </w:p>
    <w:p>
      <w:pPr>
        <w:pStyle w:val="ListParagraph"/>
        <w:numPr>
          <w:ilvl w:val="0"/>
          <w:numId w:val="1"/>
        </w:numPr>
        <w:spacing w:before="0" w:after="80"/>
        <w:rPr/>
      </w:pPr>
      <w:r>
        <w:rPr>
          <w:rFonts w:eastAsia="Arial" w:cs="Arial"/>
          <w:b w:val="false"/>
          <w:bCs w:val="false"/>
          <w:sz w:val="24"/>
          <w:szCs w:val="24"/>
        </w:rPr>
        <w:t>A graduate student performing grading on the professor’s behalf</w:t>
      </w:r>
    </w:p>
    <w:p>
      <w:pPr>
        <w:pStyle w:val="Normal"/>
        <w:spacing w:before="0" w:after="120"/>
        <w:rPr/>
      </w:pPr>
      <w:r>
        <w:rPr/>
      </w:r>
    </w:p>
    <w:p>
      <w:pPr>
        <w:pStyle w:val="Normal"/>
        <w:pBdr>
          <w:left w:val="single" w:sz="6" w:space="10" w:color="888888"/>
        </w:pBdr>
        <w:spacing w:before="0" w:after="120"/>
        <w:ind w:start="360"/>
        <w:rPr/>
      </w:pPr>
      <w:r>
        <w:rPr>
          <w:rFonts w:eastAsia="Arial" w:cs="Arial"/>
          <w:i/>
          <w:iCs/>
          <w:color w:val="555555"/>
          <w:sz w:val="22"/>
          <w:szCs w:val="22"/>
        </w:rPr>
        <w:t>Trigger criteria — suspicion thresholds, whether random audits are permitted, and stakes-based selection (e.g., mandatory for high-credit assignments) — are open structural questions to be resolved at the institutional level.</w:t>
      </w:r>
    </w:p>
    <w:p>
      <w:pPr>
        <w:pStyle w:val="Normal"/>
        <w:spacing w:before="0" w:after="120"/>
        <w:rPr/>
      </w:pPr>
      <w:r>
        <w:rPr/>
      </w:r>
    </w:p>
    <w:p>
      <w:pPr>
        <w:pStyle w:val="Heading1"/>
        <w:rPr/>
      </w:pPr>
      <w:r>
        <w:rPr>
          <w:rFonts w:eastAsia="Arial" w:cs="Arial" w:ascii="Arial" w:hAnsi="Arial"/>
          <w:b/>
          <w:bCs/>
          <w:sz w:val="32"/>
          <w:szCs w:val="32"/>
        </w:rPr>
        <w:t>4. Student Protocol (Pre-Condition for CDM)</w:t>
      </w:r>
    </w:p>
    <w:p>
      <w:pPr>
        <w:pStyle w:val="Normal"/>
        <w:spacing w:before="0" w:after="120"/>
        <w:rPr/>
      </w:pPr>
      <w:r>
        <w:rPr>
          <w:rFonts w:eastAsia="Arial" w:cs="Arial"/>
          <w:sz w:val="24"/>
          <w:szCs w:val="24"/>
        </w:rPr>
        <w:t>For the CDM to function, the student must have followed the GWP session procedure. The correct procedure for AI use on a graded writing assignment is:</w:t>
      </w:r>
    </w:p>
    <w:p>
      <w:pPr>
        <w:pStyle w:val="Normal"/>
        <w:spacing w:before="0" w:after="120"/>
        <w:rPr/>
      </w:pPr>
      <w:r>
        <w:rPr/>
      </w:r>
    </w:p>
    <w:p>
      <w:pPr>
        <w:pStyle w:val="ListParagraph"/>
        <w:numPr>
          <w:ilvl w:val="0"/>
          <w:numId w:val="6"/>
        </w:numPr>
        <w:spacing w:before="0" w:after="80"/>
        <w:rPr/>
      </w:pPr>
      <w:r>
        <w:rPr>
          <w:rFonts w:eastAsia="Arial" w:cs="Arial"/>
          <w:sz w:val="24"/>
          <w:szCs w:val="24"/>
        </w:rPr>
        <w:t>Open a new chat session</w:t>
      </w:r>
    </w:p>
    <w:p>
      <w:pPr>
        <w:pStyle w:val="ListParagraph"/>
        <w:numPr>
          <w:ilvl w:val="0"/>
          <w:numId w:val="2"/>
        </w:numPr>
        <w:spacing w:before="0" w:after="80"/>
        <w:rPr/>
      </w:pPr>
      <w:r>
        <w:rPr>
          <w:rFonts w:eastAsia="Arial" w:cs="Arial"/>
          <w:sz w:val="24"/>
          <w:szCs w:val="24"/>
        </w:rPr>
        <w:t>State the name of the project within the session</w:t>
      </w:r>
    </w:p>
    <w:p>
      <w:pPr>
        <w:pStyle w:val="ListParagraph"/>
        <w:numPr>
          <w:ilvl w:val="0"/>
          <w:numId w:val="2"/>
        </w:numPr>
        <w:spacing w:before="0" w:after="80"/>
        <w:rPr/>
      </w:pPr>
      <w:r>
        <w:rPr>
          <w:rFonts w:eastAsia="Arial" w:cs="Arial"/>
          <w:sz w:val="24"/>
          <w:szCs w:val="24"/>
        </w:rPr>
        <w:t>Drop the university-approved engineered prompt into the chat window</w:t>
      </w:r>
    </w:p>
    <w:p>
      <w:pPr>
        <w:pStyle w:val="ListParagraph"/>
        <w:numPr>
          <w:ilvl w:val="0"/>
          <w:numId w:val="2"/>
        </w:numPr>
        <w:spacing w:before="0" w:after="80"/>
        <w:rPr/>
      </w:pPr>
      <w:r>
        <w:rPr>
          <w:rFonts w:eastAsia="Arial" w:cs="Arial"/>
          <w:sz w:val="24"/>
          <w:szCs w:val="24"/>
        </w:rPr>
        <w:t>Request acknowledgement from the AI of what the prompt means and what it may and may not provide</w:t>
      </w:r>
    </w:p>
    <w:p>
      <w:pPr>
        <w:pStyle w:val="ListParagraph"/>
        <w:numPr>
          <w:ilvl w:val="0"/>
          <w:numId w:val="2"/>
        </w:numPr>
        <w:spacing w:before="0" w:after="160"/>
        <w:rPr/>
      </w:pPr>
      <w:r>
        <w:rPr>
          <w:rFonts w:eastAsia="Arial" w:cs="Arial"/>
          <w:sz w:val="24"/>
          <w:szCs w:val="24"/>
        </w:rPr>
        <w:t>Proceed with permitted writing assistance</w:t>
      </w:r>
    </w:p>
    <w:p>
      <w:pPr>
        <w:pStyle w:val="Normal"/>
        <w:pBdr>
          <w:left w:val="single" w:sz="6" w:space="10" w:color="888888"/>
        </w:pBdr>
        <w:spacing w:before="0" w:after="120"/>
        <w:ind w:start="360"/>
        <w:rPr/>
      </w:pPr>
      <w:r>
        <w:rPr>
          <w:rFonts w:eastAsia="Arial" w:cs="Arial"/>
          <w:i/>
          <w:iCs/>
          <w:color w:val="555555"/>
          <w:sz w:val="22"/>
          <w:szCs w:val="22"/>
        </w:rPr>
        <w:t>The standardized opening creates a verifiable session signature. The AI’s acknowledgement step is particularly important: it documents, within the log itself, that the constraints were stated and accepted before work began.</w:t>
      </w:r>
    </w:p>
    <w:p>
      <w:pPr>
        <w:pStyle w:val="Normal"/>
        <w:spacing w:before="0" w:after="120"/>
        <w:rPr/>
      </w:pPr>
      <w:r>
        <w:rPr/>
      </w:r>
    </w:p>
    <w:p>
      <w:pPr>
        <w:pStyle w:val="Normal"/>
        <w:pBdr>
          <w:left w:val="single" w:sz="6" w:space="10" w:color="888888"/>
        </w:pBdr>
        <w:spacing w:before="0" w:after="120"/>
        <w:ind w:start="360"/>
        <w:rPr/>
      </w:pPr>
      <w:r>
        <w:rPr>
          <w:rFonts w:eastAsia="Arial" w:cs="Arial"/>
          <w:i/>
          <w:iCs/>
          <w:color w:val="555555"/>
          <w:sz w:val="22"/>
          <w:szCs w:val="22"/>
        </w:rPr>
        <w:t>Time and date stamps provide additional integrity value. Availability varies by platform; students should capture session metadata where possible.</w:t>
      </w:r>
    </w:p>
    <w:p>
      <w:pPr>
        <w:pStyle w:val="Normal"/>
        <w:spacing w:before="0" w:after="120"/>
        <w:rPr/>
      </w:pPr>
      <w:r>
        <w:rPr/>
      </w:r>
    </w:p>
    <w:p>
      <w:pPr>
        <w:pStyle w:val="Heading1"/>
        <w:rPr/>
      </w:pPr>
      <w:r>
        <w:rPr>
          <w:rFonts w:eastAsia="Arial" w:cs="Arial" w:ascii="Arial" w:hAnsi="Arial"/>
          <w:b/>
          <w:bCs/>
          <w:sz w:val="32"/>
          <w:szCs w:val="32"/>
        </w:rPr>
        <w:t>5. The Challenge Process</w:t>
      </w:r>
    </w:p>
    <w:p>
      <w:pPr>
        <w:pStyle w:val="Heading2"/>
        <w:rPr/>
      </w:pPr>
      <w:r>
        <w:rPr>
          <w:rFonts w:eastAsia="Arial" w:cs="Arial" w:ascii="Arial" w:hAnsi="Arial"/>
          <w:b/>
          <w:bCs/>
          <w:sz w:val="28"/>
          <w:szCs w:val="28"/>
        </w:rPr>
        <w:t>5a. Initiation</w:t>
      </w:r>
    </w:p>
    <w:p>
      <w:pPr>
        <w:pStyle w:val="Normal"/>
        <w:spacing w:before="0" w:after="120"/>
        <w:rPr/>
      </w:pPr>
      <w:r>
        <w:rPr>
          <w:rFonts w:eastAsia="Arial" w:cs="Arial"/>
          <w:sz w:val="24"/>
          <w:szCs w:val="24"/>
        </w:rPr>
        <w:t>The challenging party notifies the student that a defense is required. The notification should specify the work in question and a reasonable timeframe within which the defense must occur.</w:t>
      </w:r>
    </w:p>
    <w:p>
      <w:pPr>
        <w:pStyle w:val="Normal"/>
        <w:spacing w:before="0" w:after="120"/>
        <w:rPr/>
      </w:pPr>
      <w:r>
        <w:rPr/>
      </w:r>
    </w:p>
    <w:p>
      <w:pPr>
        <w:pStyle w:val="Normal"/>
        <w:pBdr>
          <w:left w:val="single" w:sz="6" w:space="10" w:color="888888"/>
        </w:pBdr>
        <w:spacing w:before="0" w:after="120"/>
        <w:ind w:start="360"/>
        <w:rPr/>
      </w:pPr>
      <w:r>
        <w:rPr>
          <w:rFonts w:eastAsia="Arial" w:cs="Arial"/>
          <w:i/>
          <w:iCs/>
          <w:color w:val="555555"/>
          <w:sz w:val="22"/>
          <w:szCs w:val="22"/>
        </w:rPr>
        <w:t>Procedural specifics — notification format, defense window, scheduling logistics — are open questions suited to institutional policy development.</w:t>
      </w:r>
    </w:p>
    <w:p>
      <w:pPr>
        <w:pStyle w:val="Normal"/>
        <w:spacing w:before="0" w:after="120"/>
        <w:rPr/>
      </w:pPr>
      <w:r>
        <w:rPr/>
      </w:r>
    </w:p>
    <w:p>
      <w:pPr>
        <w:pStyle w:val="Heading2"/>
        <w:rPr/>
      </w:pPr>
      <w:r>
        <w:rPr>
          <w:rFonts w:eastAsia="Arial" w:cs="Arial" w:ascii="Arial" w:hAnsi="Arial"/>
          <w:b/>
          <w:bCs/>
          <w:sz w:val="28"/>
          <w:szCs w:val="28"/>
        </w:rPr>
        <w:t>5b. The Defense</w:t>
      </w:r>
    </w:p>
    <w:p>
      <w:pPr>
        <w:pStyle w:val="Normal"/>
        <w:spacing w:before="0" w:after="120"/>
        <w:rPr/>
      </w:pPr>
      <w:r>
        <w:rPr>
          <w:rFonts w:eastAsia="Arial" w:cs="Arial"/>
          <w:sz w:val="24"/>
          <w:szCs w:val="24"/>
        </w:rPr>
        <w:t>The student appears before the challenging party and defends the positions taken in the submitted work directly, as an author defending their ideas. The challenging party examines the student’s comprehension of and reasoning behind the work.</w:t>
      </w:r>
    </w:p>
    <w:p>
      <w:pPr>
        <w:pStyle w:val="Normal"/>
        <w:spacing w:before="0" w:after="120"/>
        <w:rPr/>
      </w:pPr>
      <w:r>
        <w:rPr/>
      </w:r>
    </w:p>
    <w:p>
      <w:pPr>
        <w:pStyle w:val="ListParagraph"/>
        <w:numPr>
          <w:ilvl w:val="0"/>
          <w:numId w:val="1"/>
        </w:numPr>
        <w:spacing w:before="0" w:after="80"/>
        <w:rPr/>
      </w:pPr>
      <w:r>
        <w:rPr>
          <w:rFonts w:eastAsia="Arial" w:cs="Arial"/>
          <w:b w:val="false"/>
          <w:bCs w:val="false"/>
          <w:sz w:val="24"/>
          <w:szCs w:val="24"/>
        </w:rPr>
        <w:t>The defense is a live cognitive assessment, not a procedural hearing.</w:t>
      </w:r>
    </w:p>
    <w:p>
      <w:pPr>
        <w:pStyle w:val="ListParagraph"/>
        <w:numPr>
          <w:ilvl w:val="0"/>
          <w:numId w:val="1"/>
        </w:numPr>
        <w:spacing w:before="0" w:after="80"/>
        <w:rPr/>
      </w:pPr>
      <w:r>
        <w:rPr>
          <w:rFonts w:eastAsia="Arial" w:cs="Arial"/>
          <w:b w:val="false"/>
          <w:bCs w:val="false"/>
          <w:sz w:val="24"/>
          <w:szCs w:val="24"/>
        </w:rPr>
        <w:t>The student presents the chat log as evidence of GWP-compliant AI use.</w:t>
      </w:r>
    </w:p>
    <w:p>
      <w:pPr>
        <w:pStyle w:val="ListParagraph"/>
        <w:numPr>
          <w:ilvl w:val="0"/>
          <w:numId w:val="1"/>
        </w:numPr>
        <w:spacing w:before="0" w:after="80"/>
        <w:rPr/>
      </w:pPr>
      <w:r>
        <w:rPr>
          <w:rFonts w:eastAsia="Arial" w:cs="Arial"/>
          <w:b w:val="false"/>
          <w:bCs w:val="false"/>
          <w:sz w:val="24"/>
          <w:szCs w:val="24"/>
        </w:rPr>
        <w:t>The professor evaluates whether the cognition in the paper is demonstrably the student’s own.</w:t>
      </w:r>
    </w:p>
    <w:p>
      <w:pPr>
        <w:pStyle w:val="Normal"/>
        <w:spacing w:before="0" w:after="120"/>
        <w:rPr/>
      </w:pPr>
      <w:r>
        <w:rPr/>
      </w:r>
    </w:p>
    <w:p>
      <w:pPr>
        <w:pStyle w:val="Heading2"/>
        <w:rPr/>
      </w:pPr>
      <w:r>
        <w:rPr>
          <w:rFonts w:eastAsia="Arial" w:cs="Arial" w:ascii="Arial" w:hAnsi="Arial"/>
          <w:b/>
          <w:bCs/>
          <w:sz w:val="28"/>
          <w:szCs w:val="28"/>
        </w:rPr>
        <w:t>5c. Outcomes</w:t>
      </w:r>
    </w:p>
    <w:p>
      <w:pPr>
        <w:pStyle w:val="ListParagraph"/>
        <w:numPr>
          <w:ilvl w:val="0"/>
          <w:numId w:val="1"/>
        </w:numPr>
        <w:spacing w:before="0" w:after="80"/>
        <w:rPr/>
      </w:pPr>
      <w:r>
        <w:rPr>
          <w:rFonts w:eastAsia="Arial" w:cs="Arial"/>
          <w:b w:val="false"/>
          <w:bCs w:val="false"/>
          <w:sz w:val="24"/>
          <w:szCs w:val="24"/>
        </w:rPr>
        <w:t>Defense successful: Work stands. No further action.</w:t>
      </w:r>
    </w:p>
    <w:p>
      <w:pPr>
        <w:pStyle w:val="ListParagraph"/>
        <w:numPr>
          <w:ilvl w:val="0"/>
          <w:numId w:val="1"/>
        </w:numPr>
        <w:spacing w:before="0" w:after="80"/>
        <w:rPr/>
      </w:pPr>
      <w:r>
        <w:rPr>
          <w:rFonts w:eastAsia="Arial" w:cs="Arial"/>
          <w:b w:val="false"/>
          <w:bCs w:val="false"/>
          <w:sz w:val="24"/>
          <w:szCs w:val="24"/>
        </w:rPr>
        <w:t>Defense unsuccessful: Handled under existing academic integrity policy, with the defense itself as part of the evidentiary record.</w:t>
      </w:r>
    </w:p>
    <w:p>
      <w:pPr>
        <w:pStyle w:val="Normal"/>
        <w:spacing w:before="0" w:after="120"/>
        <w:rPr/>
      </w:pPr>
      <w:r>
        <w:rPr/>
      </w:r>
    </w:p>
    <w:p>
      <w:pPr>
        <w:pStyle w:val="Heading1"/>
        <w:rPr/>
      </w:pPr>
      <w:r>
        <w:rPr>
          <w:rFonts w:eastAsia="Arial" w:cs="Arial" w:ascii="Arial" w:hAnsi="Arial"/>
          <w:b/>
          <w:bCs/>
          <w:sz w:val="32"/>
          <w:szCs w:val="32"/>
        </w:rPr>
        <w:t>6. Chat Log Integrity</w:t>
      </w:r>
    </w:p>
    <w:p>
      <w:pPr>
        <w:pStyle w:val="Normal"/>
        <w:spacing w:before="0" w:after="120"/>
        <w:rPr/>
      </w:pPr>
      <w:r>
        <w:rPr>
          <w:rFonts w:eastAsia="Arial" w:cs="Arial"/>
          <w:sz w:val="24"/>
          <w:szCs w:val="24"/>
        </w:rPr>
        <w:t>The standardized session opening provides a degree of log authentication. A fabricated log must replicate the correct opening structure, the AI’s acknowledgement of the constraints, and a plausible interaction consistent with the submitted work — a substantially higher bar than producing any convincing-looking conversation.</w:t>
      </w:r>
    </w:p>
    <w:p>
      <w:pPr>
        <w:pStyle w:val="Normal"/>
        <w:spacing w:before="0" w:after="120"/>
        <w:rPr/>
      </w:pPr>
      <w:r>
        <w:rPr/>
      </w:r>
    </w:p>
    <w:p>
      <w:pPr>
        <w:pStyle w:val="Normal"/>
        <w:spacing w:before="0" w:after="120"/>
        <w:rPr/>
      </w:pPr>
      <w:r>
        <w:rPr>
          <w:rFonts w:eastAsia="Arial" w:cs="Arial"/>
          <w:sz w:val="24"/>
          <w:szCs w:val="24"/>
        </w:rPr>
        <w:t xml:space="preserve">Post-facto manipulation difficulty varies by platform. The practical standard: if a student successfully fabricated a fully compliant log and defended the work, the learning outcome has been demonstrated regardless.  </w:t>
      </w:r>
      <w:r>
        <w:rPr>
          <w:rFonts w:eastAsia="Arial" w:cs="Arial"/>
          <w:sz w:val="24"/>
          <w:szCs w:val="24"/>
        </w:rPr>
        <w:t>Further, the effort involved in fabrication should exceed the effort necessary to perform the assignment honestly most of the time.</w:t>
      </w:r>
    </w:p>
    <w:p>
      <w:pPr>
        <w:pStyle w:val="Normal"/>
        <w:spacing w:before="0" w:after="120"/>
        <w:rPr/>
      </w:pPr>
      <w:r>
        <w:rPr/>
      </w:r>
    </w:p>
    <w:p>
      <w:pPr>
        <w:pStyle w:val="Normal"/>
        <w:pBdr>
          <w:left w:val="single" w:sz="6" w:space="10" w:color="888888"/>
        </w:pBdr>
        <w:spacing w:before="0" w:after="120"/>
        <w:ind w:start="360"/>
        <w:rPr/>
      </w:pPr>
      <w:r>
        <w:rPr>
          <w:rFonts w:eastAsia="Arial" w:cs="Arial"/>
          <w:i/>
          <w:iCs/>
          <w:color w:val="555555"/>
          <w:sz w:val="22"/>
          <w:szCs w:val="22"/>
        </w:rPr>
        <w:t>Platform timestamp fidelity varies. Claude provides session-level timestamps more cleanly than some alternatives. The protocol should not depend on any single platform’s UI conventions.</w:t>
      </w:r>
    </w:p>
    <w:p>
      <w:pPr>
        <w:pStyle w:val="Normal"/>
        <w:spacing w:before="0" w:after="120"/>
        <w:rPr/>
      </w:pPr>
      <w:r>
        <w:rPr/>
      </w:r>
    </w:p>
    <w:p>
      <w:pPr>
        <w:pStyle w:val="Heading1"/>
        <w:rPr/>
      </w:pPr>
      <w:r>
        <w:rPr>
          <w:rFonts w:eastAsia="Arial" w:cs="Arial" w:ascii="Arial" w:hAnsi="Arial"/>
          <w:b/>
          <w:bCs/>
          <w:sz w:val="32"/>
          <w:szCs w:val="32"/>
        </w:rPr>
        <w:t>7. Appeals Process</w:t>
      </w:r>
    </w:p>
    <w:p>
      <w:pPr>
        <w:pStyle w:val="Normal"/>
        <w:spacing w:before="0" w:after="120"/>
        <w:rPr/>
      </w:pPr>
      <w:r>
        <w:rPr>
          <w:rFonts w:eastAsia="Arial" w:cs="Arial"/>
          <w:sz w:val="24"/>
          <w:szCs w:val="24"/>
        </w:rPr>
        <w:t>A student who believes a challenge was improperly initiated or a defense improperly evaluated may appeal to a review board.</w:t>
      </w:r>
    </w:p>
    <w:p>
      <w:pPr>
        <w:pStyle w:val="Normal"/>
        <w:spacing w:before="0" w:after="120"/>
        <w:rPr/>
      </w:pPr>
      <w:r>
        <w:rPr/>
      </w:r>
    </w:p>
    <w:p>
      <w:pPr>
        <w:pStyle w:val="Heading2"/>
        <w:rPr/>
      </w:pPr>
      <w:r>
        <w:rPr>
          <w:rFonts w:eastAsia="Arial" w:cs="Arial" w:ascii="Arial" w:hAnsi="Arial"/>
          <w:b/>
          <w:bCs/>
          <w:sz w:val="28"/>
          <w:szCs w:val="28"/>
        </w:rPr>
        <w:t>7a. Board Composition</w:t>
      </w:r>
    </w:p>
    <w:p>
      <w:pPr>
        <w:pStyle w:val="Normal"/>
        <w:spacing w:before="0" w:after="120"/>
        <w:rPr/>
      </w:pPr>
      <w:r>
        <w:rPr>
          <w:rFonts w:eastAsia="Arial" w:cs="Arial"/>
          <w:sz w:val="24"/>
          <w:szCs w:val="24"/>
        </w:rPr>
        <w:t>Review is performed by a board of the professor’s peers. Specific composition, quorum, and conflict-of-interest standards are institutional implementation questions.</w:t>
      </w:r>
    </w:p>
    <w:p>
      <w:pPr>
        <w:pStyle w:val="Normal"/>
        <w:spacing w:before="0" w:after="120"/>
        <w:rPr/>
      </w:pPr>
      <w:r>
        <w:rPr/>
      </w:r>
    </w:p>
    <w:p>
      <w:pPr>
        <w:pStyle w:val="Heading2"/>
        <w:rPr/>
      </w:pPr>
      <w:r>
        <w:rPr>
          <w:rFonts w:eastAsia="Arial" w:cs="Arial" w:ascii="Arial" w:hAnsi="Arial"/>
          <w:b/>
          <w:bCs/>
          <w:sz w:val="28"/>
          <w:szCs w:val="28"/>
        </w:rPr>
        <w:t>7b. Evidence Package</w:t>
      </w:r>
    </w:p>
    <w:p>
      <w:pPr>
        <w:pStyle w:val="Normal"/>
        <w:spacing w:before="0" w:after="120"/>
        <w:rPr/>
      </w:pPr>
      <w:r>
        <w:rPr>
          <w:rFonts w:eastAsia="Arial" w:cs="Arial"/>
          <w:sz w:val="24"/>
          <w:szCs w:val="24"/>
        </w:rPr>
        <w:t>The primary evidentiary record for an appeal consists of:</w:t>
      </w:r>
    </w:p>
    <w:p>
      <w:pPr>
        <w:pStyle w:val="ListParagraph"/>
        <w:numPr>
          <w:ilvl w:val="0"/>
          <w:numId w:val="1"/>
        </w:numPr>
        <w:spacing w:before="0" w:after="80"/>
        <w:rPr/>
      </w:pPr>
      <w:r>
        <w:rPr>
          <w:rFonts w:eastAsia="Arial" w:cs="Arial"/>
          <w:b w:val="false"/>
          <w:bCs w:val="false"/>
          <w:sz w:val="24"/>
          <w:szCs w:val="24"/>
        </w:rPr>
        <w:t>The submitted written work</w:t>
      </w:r>
    </w:p>
    <w:p>
      <w:pPr>
        <w:pStyle w:val="ListParagraph"/>
        <w:numPr>
          <w:ilvl w:val="0"/>
          <w:numId w:val="1"/>
        </w:numPr>
        <w:spacing w:before="0" w:after="80"/>
        <w:rPr/>
      </w:pPr>
      <w:r>
        <w:rPr>
          <w:rFonts w:eastAsia="Arial" w:cs="Arial"/>
          <w:b w:val="false"/>
          <w:bCs w:val="false"/>
          <w:sz w:val="24"/>
          <w:szCs w:val="24"/>
        </w:rPr>
        <w:t>The AI session chat log</w:t>
      </w:r>
    </w:p>
    <w:p>
      <w:pPr>
        <w:pStyle w:val="ListParagraph"/>
        <w:numPr>
          <w:ilvl w:val="0"/>
          <w:numId w:val="1"/>
        </w:numPr>
        <w:spacing w:before="0" w:after="80"/>
        <w:rPr/>
      </w:pPr>
      <w:r>
        <w:rPr>
          <w:rFonts w:eastAsia="Arial" w:cs="Arial"/>
          <w:b w:val="false"/>
          <w:bCs w:val="false"/>
          <w:sz w:val="24"/>
          <w:szCs w:val="24"/>
        </w:rPr>
        <w:t>A recording of the defense</w:t>
      </w:r>
    </w:p>
    <w:p>
      <w:pPr>
        <w:pStyle w:val="Normal"/>
        <w:spacing w:before="0" w:after="120"/>
        <w:rPr/>
      </w:pPr>
      <w:r>
        <w:rPr/>
      </w:r>
    </w:p>
    <w:p>
      <w:pPr>
        <w:pStyle w:val="Heading2"/>
        <w:rPr/>
      </w:pPr>
      <w:r>
        <w:rPr>
          <w:rFonts w:eastAsia="Arial" w:cs="Arial" w:ascii="Arial" w:hAnsi="Arial"/>
          <w:b/>
          <w:bCs/>
          <w:sz w:val="28"/>
          <w:szCs w:val="28"/>
        </w:rPr>
        <w:t>7c. Expected Use</w:t>
      </w:r>
    </w:p>
    <w:p>
      <w:pPr>
        <w:pStyle w:val="Normal"/>
        <w:spacing w:before="0" w:after="120"/>
        <w:rPr/>
      </w:pPr>
      <w:r>
        <w:rPr>
          <w:rFonts w:eastAsia="Arial" w:cs="Arial"/>
          <w:sz w:val="24"/>
          <w:szCs w:val="24"/>
        </w:rPr>
        <w:t xml:space="preserve">The appeals process is expected to be rarely used. Its primary function is structural: </w:t>
      </w:r>
      <w:r>
        <w:rPr>
          <w:rFonts w:eastAsia="Arial" w:cs="Arial"/>
          <w:sz w:val="24"/>
          <w:szCs w:val="24"/>
        </w:rPr>
        <w:t>reassuring</w:t>
      </w:r>
      <w:r>
        <w:rPr>
          <w:rFonts w:eastAsia="Arial" w:cs="Arial"/>
          <w:sz w:val="24"/>
          <w:szCs w:val="24"/>
        </w:rPr>
        <w:t xml:space="preserve"> students </w:t>
      </w:r>
      <w:r>
        <w:rPr>
          <w:rFonts w:eastAsia="Arial" w:cs="Arial"/>
          <w:sz w:val="24"/>
          <w:szCs w:val="24"/>
        </w:rPr>
        <w:t xml:space="preserve">that </w:t>
      </w:r>
      <w:r>
        <w:rPr>
          <w:rFonts w:eastAsia="Arial" w:cs="Arial"/>
          <w:sz w:val="24"/>
          <w:szCs w:val="24"/>
        </w:rPr>
        <w:t xml:space="preserve">due process exists and that the challenge mechanism </w:t>
      </w:r>
      <w:r>
        <w:rPr>
          <w:rFonts w:eastAsia="Arial" w:cs="Arial"/>
          <w:sz w:val="24"/>
          <w:szCs w:val="24"/>
        </w:rPr>
        <w:t>has safeguards against abuse, encouraging honest skills development rather than risk mitigation through refusal to use AI tools.</w:t>
      </w:r>
    </w:p>
    <w:p>
      <w:pPr>
        <w:pStyle w:val="Normal"/>
        <w:spacing w:before="0" w:after="120"/>
        <w:rPr/>
      </w:pPr>
      <w:r>
        <w:rPr/>
      </w:r>
    </w:p>
    <w:p>
      <w:pPr>
        <w:pStyle w:val="Heading1"/>
        <w:rPr/>
      </w:pPr>
      <w:r>
        <w:rPr>
          <w:rFonts w:eastAsia="Arial" w:cs="Arial" w:ascii="Arial" w:hAnsi="Arial"/>
          <w:b/>
          <w:bCs/>
          <w:sz w:val="32"/>
          <w:szCs w:val="32"/>
        </w:rPr>
        <w:t>8. Open Structural Questions</w:t>
      </w:r>
    </w:p>
    <w:p>
      <w:pPr>
        <w:pStyle w:val="Normal"/>
        <w:spacing w:before="0" w:after="120"/>
        <w:rPr/>
      </w:pPr>
      <w:r>
        <w:rPr>
          <w:rFonts w:eastAsia="Arial" w:cs="Arial"/>
          <w:sz w:val="24"/>
          <w:szCs w:val="24"/>
        </w:rPr>
        <w:t>The following elements require further development, institutional input, or research engagement:</w:t>
      </w:r>
    </w:p>
    <w:p>
      <w:pPr>
        <w:pStyle w:val="Normal"/>
        <w:spacing w:before="0" w:after="120"/>
        <w:rPr/>
      </w:pPr>
      <w:r>
        <w:rPr/>
      </w:r>
    </w:p>
    <w:p>
      <w:pPr>
        <w:pStyle w:val="ListParagraph"/>
        <w:numPr>
          <w:ilvl w:val="0"/>
          <w:numId w:val="1"/>
        </w:numPr>
        <w:spacing w:before="0" w:after="80"/>
        <w:rPr/>
      </w:pPr>
      <w:r>
        <w:rPr>
          <w:rFonts w:eastAsia="Arial" w:cs="Arial"/>
          <w:b/>
          <w:bCs/>
          <w:sz w:val="24"/>
          <w:szCs w:val="24"/>
        </w:rPr>
        <w:t>What constitutes a successful defense, and who determines it?</w:t>
      </w:r>
    </w:p>
    <w:p>
      <w:pPr>
        <w:pStyle w:val="ListParagraph"/>
        <w:numPr>
          <w:ilvl w:val="0"/>
          <w:numId w:val="7"/>
        </w:numPr>
        <w:spacing w:before="0" w:after="80"/>
        <w:rPr/>
      </w:pPr>
      <w:r>
        <w:rPr>
          <w:rFonts w:eastAsia="Arial" w:cs="Arial"/>
          <w:i/>
          <w:iCs/>
          <w:sz w:val="22"/>
          <w:szCs w:val="22"/>
        </w:rPr>
        <w:t>Is it the professor’s subjective judgment? A rubric? A threshold?</w:t>
      </w:r>
    </w:p>
    <w:p>
      <w:pPr>
        <w:pStyle w:val="ListParagraph"/>
        <w:numPr>
          <w:ilvl w:val="0"/>
          <w:numId w:val="1"/>
        </w:numPr>
        <w:spacing w:before="0" w:after="80"/>
        <w:rPr/>
      </w:pPr>
      <w:r>
        <w:rPr>
          <w:rFonts w:eastAsia="Arial" w:cs="Arial"/>
          <w:b/>
          <w:bCs/>
          <w:sz w:val="24"/>
          <w:szCs w:val="24"/>
        </w:rPr>
        <w:t>What triggers a challenge?</w:t>
      </w:r>
    </w:p>
    <w:p>
      <w:pPr>
        <w:pStyle w:val="ListParagraph"/>
        <w:numPr>
          <w:ilvl w:val="0"/>
          <w:numId w:val="3"/>
        </w:numPr>
        <w:spacing w:before="0" w:after="80"/>
        <w:rPr/>
      </w:pPr>
      <w:r>
        <w:rPr>
          <w:rFonts w:eastAsia="Arial" w:cs="Arial"/>
          <w:i/>
          <w:iCs/>
          <w:sz w:val="22"/>
          <w:szCs w:val="22"/>
        </w:rPr>
        <w:t>Suspicion-based, random audit, stakes-based, or some combination?</w:t>
      </w:r>
    </w:p>
    <w:p>
      <w:pPr>
        <w:pStyle w:val="ListParagraph"/>
        <w:numPr>
          <w:ilvl w:val="0"/>
          <w:numId w:val="1"/>
        </w:numPr>
        <w:spacing w:before="0" w:after="80"/>
        <w:rPr/>
      </w:pPr>
      <w:r>
        <w:rPr>
          <w:rFonts w:eastAsia="Arial" w:cs="Arial"/>
          <w:b/>
          <w:bCs/>
          <w:sz w:val="24"/>
          <w:szCs w:val="24"/>
        </w:rPr>
        <w:t>Defense format and scheduling</w:t>
      </w:r>
    </w:p>
    <w:p>
      <w:pPr>
        <w:pStyle w:val="ListParagraph"/>
        <w:numPr>
          <w:ilvl w:val="0"/>
          <w:numId w:val="3"/>
        </w:numPr>
        <w:spacing w:before="0" w:after="80"/>
        <w:rPr/>
      </w:pPr>
      <w:r>
        <w:rPr>
          <w:rFonts w:eastAsia="Arial" w:cs="Arial"/>
          <w:i/>
          <w:iCs/>
          <w:sz w:val="22"/>
          <w:szCs w:val="22"/>
        </w:rPr>
        <w:t>Scheduled meeting vs. impromptu? Office hours? Formal hearing room?</w:t>
      </w:r>
    </w:p>
    <w:p>
      <w:pPr>
        <w:pStyle w:val="ListParagraph"/>
        <w:numPr>
          <w:ilvl w:val="0"/>
          <w:numId w:val="3"/>
        </w:numPr>
        <w:spacing w:before="0" w:after="80"/>
        <w:rPr/>
      </w:pPr>
      <w:r>
        <w:rPr>
          <w:rFonts w:eastAsia="Arial" w:cs="Arial"/>
          <w:i/>
          <w:iCs/>
          <w:sz w:val="22"/>
          <w:szCs w:val="22"/>
        </w:rPr>
        <w:t>What is a reasonable window between challenge and defense?</w:t>
      </w:r>
    </w:p>
    <w:p>
      <w:pPr>
        <w:pStyle w:val="ListParagraph"/>
        <w:numPr>
          <w:ilvl w:val="0"/>
          <w:numId w:val="1"/>
        </w:numPr>
        <w:spacing w:before="0" w:after="80"/>
        <w:rPr/>
      </w:pPr>
      <w:r>
        <w:rPr>
          <w:rFonts w:eastAsia="Arial" w:cs="Arial"/>
          <w:b/>
          <w:bCs/>
          <w:sz w:val="24"/>
          <w:szCs w:val="24"/>
        </w:rPr>
        <w:t>Appeals board constitution and governance</w:t>
      </w:r>
    </w:p>
    <w:p>
      <w:pPr>
        <w:pStyle w:val="ListParagraph"/>
        <w:numPr>
          <w:ilvl w:val="0"/>
          <w:numId w:val="3"/>
        </w:numPr>
        <w:spacing w:before="0" w:after="80"/>
        <w:rPr/>
      </w:pPr>
      <w:r>
        <w:rPr>
          <w:rFonts w:eastAsia="Arial" w:cs="Arial"/>
          <w:i/>
          <w:iCs/>
          <w:sz w:val="22"/>
          <w:szCs w:val="22"/>
        </w:rPr>
        <w:t>Does an analogous body already exist within the institution?</w:t>
      </w:r>
    </w:p>
    <w:p>
      <w:pPr>
        <w:pStyle w:val="ListParagraph"/>
        <w:numPr>
          <w:ilvl w:val="0"/>
          <w:numId w:val="3"/>
        </w:numPr>
        <w:spacing w:before="0" w:after="80"/>
        <w:rPr/>
      </w:pPr>
      <w:r>
        <w:rPr>
          <w:rFonts w:eastAsia="Arial" w:cs="Arial"/>
          <w:i/>
          <w:iCs/>
          <w:sz w:val="22"/>
          <w:szCs w:val="22"/>
        </w:rPr>
        <w:t>What standards govern the review?</w:t>
      </w:r>
    </w:p>
    <w:p>
      <w:pPr>
        <w:pStyle w:val="ListParagraph"/>
        <w:numPr>
          <w:ilvl w:val="0"/>
          <w:numId w:val="1"/>
        </w:numPr>
        <w:spacing w:before="0" w:after="80"/>
        <w:rPr/>
      </w:pPr>
      <w:r>
        <w:rPr>
          <w:rFonts w:eastAsia="Arial" w:cs="Arial"/>
          <w:b/>
          <w:bCs/>
          <w:sz w:val="24"/>
          <w:szCs w:val="24"/>
        </w:rPr>
        <w:t>Handling of GWP-compliant students who cannot defend their work</w:t>
      </w:r>
    </w:p>
    <w:p>
      <w:pPr>
        <w:pStyle w:val="ListParagraph"/>
        <w:numPr>
          <w:ilvl w:val="0"/>
          <w:numId w:val="3"/>
        </w:numPr>
        <w:spacing w:before="0" w:after="80"/>
        <w:rPr/>
      </w:pPr>
      <w:r>
        <w:rPr>
          <w:rFonts w:eastAsia="Arial" w:cs="Arial"/>
          <w:i/>
          <w:iCs/>
          <w:sz w:val="22"/>
          <w:szCs w:val="22"/>
        </w:rPr>
        <w:t>Distinct from fraud — student followed the rules but learning outcome was not achieved.</w:t>
      </w:r>
    </w:p>
    <w:p>
      <w:pPr>
        <w:pStyle w:val="ListParagraph"/>
        <w:numPr>
          <w:ilvl w:val="0"/>
          <w:numId w:val="3"/>
        </w:numPr>
        <w:spacing w:before="0" w:after="80"/>
        <w:rPr/>
      </w:pPr>
      <w:r>
        <w:rPr>
          <w:rFonts w:eastAsia="Arial" w:cs="Arial"/>
          <w:i/>
          <w:iCs/>
          <w:sz w:val="22"/>
          <w:szCs w:val="22"/>
        </w:rPr>
        <w:t>Should outcomes differ from a failed defense under suspected fraud?</w:t>
      </w:r>
    </w:p>
    <w:p>
      <w:pPr>
        <w:pStyle w:val="Normal"/>
        <w:spacing w:before="0" w:after="120"/>
        <w:rPr/>
      </w:pPr>
      <w:r>
        <w:rPr/>
      </w:r>
    </w:p>
    <w:p>
      <w:pPr>
        <w:pStyle w:val="Normal"/>
        <w:pBdr>
          <w:top w:val="single" w:sz="4" w:space="8" w:color="CCCCCC"/>
        </w:pBdr>
        <w:spacing w:before="480" w:after="0"/>
        <w:rPr/>
      </w:pPr>
      <w:r>
        <w:rPr>
          <w:rFonts w:eastAsia="Arial" w:cs="Arial"/>
          <w:i/>
          <w:iCs/>
          <w:color w:val="888888"/>
          <w:sz w:val="20"/>
          <w:szCs w:val="20"/>
        </w:rPr>
        <w:t>This is a working outline draft. Framework and structural details subject to revision pending literature engagement and institutional input.</w:t>
      </w:r>
      <w:r>
        <w:rPr>
          <w:rFonts w:eastAsia="Arial" w:cs="Arial"/>
          <w:i/>
          <w:iCs/>
          <w:color w:val="888888"/>
          <w:sz w:val="20"/>
          <w:szCs w:val="20"/>
        </w:rPr>
        <w:t xml:space="preserve"> AI performed a substantial portion of this document’s creation.</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ans">
    <w:altName w:val="Arial"/>
    <w:charset w:val="00" w:characterSet="windows-1252"/>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0"/>
        </w:tabs>
        <w:ind w:start="1080" w:hanging="360"/>
      </w:pPr>
      <w:rPr>
        <w:rFonts w:ascii="OpenSymbol" w:hAnsi="OpenSymbol" w:cs="Open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1"/>
    <w:lvlOverride w:ilvl="0">
      <w:startOverride w:val="1"/>
    </w:lvlOverride>
  </w:num>
  <w:num w:numId="6">
    <w:abstractNumId w:val="2"/>
    <w:lvlOverride w:ilvl="0">
      <w:startOverride w:val="1"/>
    </w:lvlOverride>
  </w:num>
  <w:num w:numId="7">
    <w:abstractNumId w:val="3"/>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4"/>
      <w:szCs w:val="24"/>
      <w:lang w:val="en-US" w:eastAsia="zh-CN" w:bidi="hi-IN"/>
    </w:rPr>
  </w:style>
  <w:style w:type="paragraph" w:styleId="Heading1">
    <w:name w:val="heading 1"/>
    <w:basedOn w:val="Heading"/>
    <w:qFormat/>
    <w:pPr>
      <w:spacing w:before="300" w:after="180"/>
      <w:outlineLvl w:val="0"/>
    </w:pPr>
    <w:rPr>
      <w:rFonts w:ascii="Arial" w:hAnsi="Arial" w:eastAsia="Arial" w:cs="Arial"/>
      <w:b/>
      <w:bCs/>
      <w:color w:val="1F3864"/>
      <w:sz w:val="32"/>
      <w:szCs w:val="32"/>
    </w:rPr>
  </w:style>
  <w:style w:type="paragraph" w:styleId="Heading2">
    <w:name w:val="heading 2"/>
    <w:basedOn w:val="Heading"/>
    <w:qFormat/>
    <w:pPr>
      <w:spacing w:before="240" w:after="120"/>
      <w:outlineLvl w:val="1"/>
    </w:pPr>
    <w:rPr>
      <w:rFonts w:ascii="Arial" w:hAnsi="Arial" w:eastAsia="Arial" w:cs="Arial"/>
      <w:b/>
      <w:bCs/>
      <w:color w:val="2E5496"/>
      <w:sz w:val="28"/>
      <w:szCs w:val="28"/>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4"/>
      <w:szCs w:val="24"/>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LibreOffice/26.2.3.2$Windows_X86_64 LibreOffice_project/70e089b17412e4cb7773e41413306b17a2328c34</Application>
  <AppVersion>15.0000</AppVersion>
  <Pages>4</Pages>
  <Words>927</Words>
  <Characters>5301</Characters>
  <CharactersWithSpaces>6140</CharactersWithSpaces>
  <Paragraphs>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2026-05-14T16:04:48Z</dcterms:created>
  <dc:creator>Un-named</dc:creator>
  <dc:description/>
  <dc:language>en-US</dc:language>
  <cp:lastModifiedBy/>
  <dcterms:modified xsi:type="dcterms:W3CDTF">2026-05-14T12:33:33Z</dcterms:modified>
  <cp:revision>2</cp:revision>
  <dc:subject/>
  <dc:title/>
</cp:coreProperties>
</file>