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Loan size*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0.383</w:t>
            </w:r>
          </w:p>
        </w:tc>
        <w:tc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p>
            <w:pPr>
              <w:pStyle w:val="Compact"/>
              <w:jc w:val="right"/>
            </w:pPr>
            <w:r>
              <w:t xml:space="preserve">0.651</w:t>
            </w:r>
          </w:p>
        </w:tc>
        <w:tc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p>
            <w:pPr>
              <w:pStyle w:val="Compact"/>
              <w:jc w:val="right"/>
            </w:pPr>
            <w:r>
              <w:t xml:space="preserve">0.540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(0.107)</w:t>
            </w:r>
          </w:p>
        </w:tc>
        <w:tc>
          <w:p>
            <w:pPr>
              <w:pStyle w:val="Compact"/>
              <w:jc w:val="right"/>
            </w:pPr>
            <w:r>
              <w:t xml:space="preserve">(0.146)</w:t>
            </w:r>
          </w:p>
        </w:tc>
        <w:tc>
          <w:p>
            <w:pPr>
              <w:pStyle w:val="Compact"/>
              <w:jc w:val="right"/>
            </w:pPr>
            <w:r>
              <w:t xml:space="preserve">(0.181)</w:t>
            </w:r>
          </w:p>
        </w:tc>
        <w:tc>
          <w:p>
            <w:pPr>
              <w:pStyle w:val="Compact"/>
              <w:jc w:val="right"/>
            </w:pPr>
            <w:r>
              <w:t xml:space="preserve">(0.168)</w:t>
            </w:r>
          </w:p>
        </w:tc>
        <w:tc>
          <w:p>
            <w:pPr>
              <w:pStyle w:val="Compact"/>
              <w:jc w:val="right"/>
            </w:pPr>
            <w:r>
              <w:t xml:space="preserve">(0.221)</w:t>
            </w:r>
          </w:p>
        </w:tc>
        <w:tc>
          <w:p>
            <w:pPr>
              <w:pStyle w:val="Compact"/>
              <w:jc w:val="right"/>
            </w:pPr>
            <w:r>
              <w:t xml:space="preserve">(0.224)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Loan duration (months)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6.855</w:t>
            </w:r>
          </w:p>
        </w:tc>
        <w:tc>
          <w:p>
            <w:pPr>
              <w:pStyle w:val="Compact"/>
              <w:jc w:val="right"/>
            </w:pPr>
            <w:r>
              <w:t xml:space="preserve">7.173</w:t>
            </w:r>
          </w:p>
        </w:tc>
        <w:tc>
          <w:p>
            <w:pPr>
              <w:pStyle w:val="Compact"/>
              <w:jc w:val="right"/>
            </w:pPr>
            <w:r>
              <w:t xml:space="preserve">8.866</w:t>
            </w:r>
          </w:p>
        </w:tc>
        <w:tc>
          <w:p>
            <w:pPr>
              <w:pStyle w:val="Compact"/>
              <w:jc w:val="right"/>
            </w:pPr>
            <w:r>
              <w:t xml:space="preserve">9.877</w:t>
            </w:r>
          </w:p>
        </w:tc>
        <w:tc>
          <w:p>
            <w:pPr>
              <w:pStyle w:val="Compact"/>
              <w:jc w:val="right"/>
            </w:pPr>
            <w:r>
              <w:t xml:space="preserve">10.315</w:t>
            </w:r>
          </w:p>
        </w:tc>
        <w:tc>
          <w:p>
            <w:pPr>
              <w:pStyle w:val="Compact"/>
              <w:jc w:val="right"/>
            </w:pPr>
            <w:r>
              <w:t xml:space="preserve">7.825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(1.027)</w:t>
            </w:r>
          </w:p>
        </w:tc>
        <w:tc>
          <w:p>
            <w:pPr>
              <w:pStyle w:val="Compact"/>
              <w:jc w:val="right"/>
            </w:pPr>
            <w:r>
              <w:t xml:space="preserve">(1.323)</w:t>
            </w:r>
          </w:p>
        </w:tc>
        <w:tc>
          <w:p>
            <w:pPr>
              <w:pStyle w:val="Compact"/>
              <w:jc w:val="right"/>
            </w:pPr>
            <w:r>
              <w:t xml:space="preserve">(1.120)</w:t>
            </w:r>
          </w:p>
        </w:tc>
        <w:tc>
          <w:p>
            <w:pPr>
              <w:pStyle w:val="Compact"/>
              <w:jc w:val="right"/>
            </w:pPr>
            <w:r>
              <w:t xml:space="preserve">(0.910)</w:t>
            </w:r>
          </w:p>
        </w:tc>
        <w:tc>
          <w:p>
            <w:pPr>
              <w:pStyle w:val="Compact"/>
              <w:jc w:val="right"/>
            </w:pPr>
            <w:r>
              <w:t xml:space="preserve">(1.144)</w:t>
            </w:r>
          </w:p>
        </w:tc>
        <w:tc>
          <w:p>
            <w:pPr>
              <w:pStyle w:val="Compact"/>
              <w:jc w:val="right"/>
            </w:pPr>
            <w:r>
              <w:t xml:space="preserve">(1.651)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size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4.469</w:t>
            </w:r>
          </w:p>
        </w:tc>
        <w:tc>
          <w:p>
            <w:pPr>
              <w:pStyle w:val="Compact"/>
              <w:jc w:val="right"/>
            </w:pPr>
            <w:r>
              <w:t xml:space="preserve">4.476</w:t>
            </w:r>
          </w:p>
        </w:tc>
        <w:tc>
          <w:p>
            <w:pPr>
              <w:pStyle w:val="Compact"/>
              <w:jc w:val="right"/>
            </w:pPr>
            <w:r>
              <w:t xml:space="preserve">4.393</w:t>
            </w:r>
          </w:p>
        </w:tc>
        <w:tc>
          <w:p>
            <w:pPr>
              <w:pStyle w:val="Compact"/>
              <w:jc w:val="right"/>
            </w:pPr>
            <w:r>
              <w:t xml:space="preserve">4.022</w:t>
            </w:r>
          </w:p>
        </w:tc>
        <w:tc>
          <w:p>
            <w:pPr>
              <w:pStyle w:val="Compact"/>
              <w:jc w:val="right"/>
            </w:pPr>
            <w:r>
              <w:t xml:space="preserve">3.508</w:t>
            </w:r>
          </w:p>
        </w:tc>
        <w:tc>
          <w:p>
            <w:pPr>
              <w:pStyle w:val="Compact"/>
              <w:jc w:val="right"/>
            </w:pPr>
            <w:r>
              <w:t xml:space="preserve">4.358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(0.772)</w:t>
            </w:r>
          </w:p>
        </w:tc>
        <w:tc>
          <w:p>
            <w:pPr>
              <w:pStyle w:val="Compact"/>
              <w:jc w:val="right"/>
            </w:pPr>
            <w:r>
              <w:t xml:space="preserve">(0.863)</w:t>
            </w:r>
          </w:p>
        </w:tc>
        <w:tc>
          <w:p>
            <w:pPr>
              <w:pStyle w:val="Compact"/>
              <w:jc w:val="right"/>
            </w:pPr>
            <w:r>
              <w:t xml:space="preserve">(0.959)</w:t>
            </w:r>
          </w:p>
        </w:tc>
        <w:tc>
          <w:p>
            <w:pPr>
              <w:pStyle w:val="Compact"/>
              <w:jc w:val="right"/>
            </w:pPr>
            <w:r>
              <w:t xml:space="preserve">(1.094)</w:t>
            </w:r>
          </w:p>
        </w:tc>
        <w:tc>
          <w:p>
            <w:pPr>
              <w:pStyle w:val="Compact"/>
              <w:jc w:val="right"/>
            </w:pPr>
            <w:r>
              <w:t xml:space="preserve">(1.132)</w:t>
            </w:r>
          </w:p>
        </w:tc>
        <w:tc>
          <w:p>
            <w:pPr>
              <w:pStyle w:val="Compact"/>
              <w:jc w:val="right"/>
            </w:pPr>
            <w:r>
              <w:t xml:space="preserve">(0.923)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p>
            <w:pPr>
              <w:pStyle w:val="Compact"/>
              <w:jc w:val="right"/>
            </w:pPr>
            <w:r>
              <w:t xml:space="preserve">0.707</w:t>
            </w:r>
          </w:p>
        </w:tc>
        <w:tc>
          <w:p>
            <w:pPr>
              <w:pStyle w:val="Compact"/>
              <w:jc w:val="right"/>
            </w:pPr>
            <w:r>
              <w:t xml:space="preserve">0.741</w:t>
            </w:r>
          </w:p>
        </w:tc>
        <w:tc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p>
            <w:pPr>
              <w:pStyle w:val="Compact"/>
              <w:jc w:val="right"/>
            </w:pPr>
            <w:r>
              <w:t xml:space="preserve">0.733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(0.292)</w:t>
            </w:r>
          </w:p>
        </w:tc>
        <w:tc>
          <w:p>
            <w:pPr>
              <w:pStyle w:val="Compact"/>
              <w:jc w:val="right"/>
            </w:pPr>
            <w:r>
              <w:t xml:space="preserve">(0.304)</w:t>
            </w:r>
          </w:p>
        </w:tc>
        <w:tc>
          <w:p>
            <w:pPr>
              <w:pStyle w:val="Compact"/>
              <w:jc w:val="right"/>
            </w:pPr>
            <w:r>
              <w:t xml:space="preserve">(0.304)</w:t>
            </w:r>
          </w:p>
        </w:tc>
        <w:tc>
          <w:p>
            <w:pPr>
              <w:pStyle w:val="Compact"/>
              <w:jc w:val="right"/>
            </w:pPr>
            <w:r>
              <w:t xml:space="preserve">(0.289)</w:t>
            </w:r>
          </w:p>
        </w:tc>
        <w:tc>
          <w:p>
            <w:pPr>
              <w:pStyle w:val="Compact"/>
              <w:jc w:val="right"/>
            </w:pPr>
            <w:r>
              <w:t xml:space="preserve">(0.283)</w:t>
            </w:r>
          </w:p>
        </w:tc>
        <w:tc>
          <w:p>
            <w:pPr>
              <w:pStyle w:val="Compact"/>
              <w:jc w:val="right"/>
            </w:pPr>
            <w:r>
              <w:t xml:space="preserve">(0.297)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Married**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p>
            <w:pPr>
              <w:pStyle w:val="Compact"/>
              <w:jc w:val="right"/>
            </w:pPr>
            <w:r>
              <w:t xml:space="preserve">0.936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(0.135)</w:t>
            </w:r>
          </w:p>
        </w:tc>
        <w:tc>
          <w:p>
            <w:pPr>
              <w:pStyle w:val="Compact"/>
              <w:jc w:val="right"/>
            </w:pPr>
            <w:r>
              <w:t xml:space="preserve">(0.146)</w:t>
            </w:r>
          </w:p>
        </w:tc>
        <w:tc>
          <w:p>
            <w:pPr>
              <w:pStyle w:val="Compact"/>
              <w:jc w:val="right"/>
            </w:pPr>
            <w:r>
              <w:t xml:space="preserve">(0.155)</w:t>
            </w:r>
          </w:p>
        </w:tc>
        <w:tc>
          <w:p>
            <w:pPr>
              <w:pStyle w:val="Compact"/>
              <w:jc w:val="right"/>
            </w:pPr>
            <w:r>
              <w:t xml:space="preserve">(0.148)</w:t>
            </w:r>
          </w:p>
        </w:tc>
        <w:tc>
          <w:p>
            <w:pPr>
              <w:pStyle w:val="Compact"/>
              <w:jc w:val="right"/>
            </w:pPr>
            <w:r>
              <w:t xml:space="preserve">(0.146)</w:t>
            </w:r>
          </w:p>
        </w:tc>
        <w:tc>
          <w:p>
            <w:pPr>
              <w:pStyle w:val="Compact"/>
              <w:jc w:val="right"/>
            </w:pPr>
            <w:r>
              <w:t xml:space="preserve">(0.144)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children*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3.085</w:t>
            </w:r>
          </w:p>
        </w:tc>
        <w:tc>
          <w:p>
            <w:pPr>
              <w:pStyle w:val="Compact"/>
              <w:jc w:val="right"/>
            </w:pPr>
            <w:r>
              <w:t xml:space="preserve">3.122</w:t>
            </w:r>
          </w:p>
        </w:tc>
        <w:tc>
          <w:p>
            <w:pPr>
              <w:pStyle w:val="Compact"/>
              <w:jc w:val="right"/>
            </w:pPr>
            <w:r>
              <w:t xml:space="preserve">3.144</w:t>
            </w:r>
          </w:p>
        </w:tc>
        <w:tc>
          <w:p>
            <w:pPr>
              <w:pStyle w:val="Compact"/>
              <w:jc w:val="right"/>
            </w:pPr>
            <w:r>
              <w:t xml:space="preserve">3.174</w:t>
            </w:r>
          </w:p>
        </w:tc>
        <w:tc>
          <w:p>
            <w:pPr>
              <w:pStyle w:val="Compact"/>
              <w:jc w:val="right"/>
            </w:pPr>
            <w:r>
              <w:t xml:space="preserve">3.322</w:t>
            </w:r>
          </w:p>
        </w:tc>
        <w:tc>
          <w:p>
            <w:pPr>
              <w:pStyle w:val="Compact"/>
              <w:jc w:val="right"/>
            </w:pPr>
            <w:r>
              <w:t xml:space="preserve">3.127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(0.914)</w:t>
            </w:r>
          </w:p>
        </w:tc>
        <w:tc>
          <w:p>
            <w:pPr>
              <w:pStyle w:val="Compact"/>
              <w:jc w:val="right"/>
            </w:pPr>
            <w:r>
              <w:t xml:space="preserve">(1.000)</w:t>
            </w:r>
          </w:p>
        </w:tc>
        <w:tc>
          <w:p>
            <w:pPr>
              <w:pStyle w:val="Compact"/>
              <w:jc w:val="right"/>
            </w:pPr>
            <w:r>
              <w:t xml:space="preserve">(1.114)</w:t>
            </w:r>
          </w:p>
        </w:tc>
        <w:tc>
          <w:p>
            <w:pPr>
              <w:pStyle w:val="Compact"/>
              <w:jc w:val="right"/>
            </w:pPr>
            <w:r>
              <w:t xml:space="preserve">(1.167)</w:t>
            </w:r>
          </w:p>
        </w:tc>
        <w:tc>
          <w:p>
            <w:pPr>
              <w:pStyle w:val="Compact"/>
              <w:jc w:val="right"/>
            </w:pPr>
            <w:r>
              <w:t xml:space="preserve">(1.288)</w:t>
            </w:r>
          </w:p>
        </w:tc>
        <w:tc>
          <w:p>
            <w:pPr>
              <w:pStyle w:val="Compact"/>
              <w:jc w:val="right"/>
            </w:pPr>
            <w:r>
              <w:t xml:space="preserve">(1.027)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sales*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p>
            <w:pPr>
              <w:pStyle w:val="Compact"/>
              <w:jc w:val="right"/>
            </w:pPr>
            <w:r>
              <w:t xml:space="preserve">1.042</w:t>
            </w:r>
          </w:p>
        </w:tc>
        <w:tc>
          <w:p>
            <w:pPr>
              <w:pStyle w:val="Compact"/>
              <w:jc w:val="right"/>
            </w:pPr>
            <w:r>
              <w:t xml:space="preserve">1.530</w:t>
            </w:r>
          </w:p>
        </w:tc>
        <w:tc>
          <w:p>
            <w:pPr>
              <w:pStyle w:val="Compact"/>
              <w:jc w:val="right"/>
            </w:pPr>
            <w:r>
              <w:t xml:space="preserve">1.609</w:t>
            </w:r>
          </w:p>
        </w:tc>
        <w:tc>
          <w:p>
            <w:pPr>
              <w:pStyle w:val="Compact"/>
              <w:jc w:val="right"/>
            </w:pPr>
            <w:r>
              <w:t xml:space="preserve">0.987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(0.364)</w:t>
            </w:r>
          </w:p>
        </w:tc>
        <w:tc>
          <w:p>
            <w:pPr>
              <w:pStyle w:val="Compact"/>
              <w:jc w:val="right"/>
            </w:pPr>
            <w:r>
              <w:t xml:space="preserve">(0.502)</w:t>
            </w:r>
          </w:p>
        </w:tc>
        <w:tc>
          <w:p>
            <w:pPr>
              <w:pStyle w:val="Compact"/>
              <w:jc w:val="right"/>
            </w:pPr>
            <w:r>
              <w:t xml:space="preserve">(0.633)</w:t>
            </w:r>
          </w:p>
        </w:tc>
        <w:tc>
          <w:p>
            <w:pPr>
              <w:pStyle w:val="Compact"/>
              <w:jc w:val="right"/>
            </w:pPr>
            <w:r>
              <w:t xml:space="preserve">(1.028)</w:t>
            </w:r>
          </w:p>
        </w:tc>
        <w:tc>
          <w:p>
            <w:pPr>
              <w:pStyle w:val="Compact"/>
              <w:jc w:val="right"/>
            </w:pPr>
            <w:r>
              <w:t xml:space="preserve">(1.012)</w:t>
            </w:r>
          </w:p>
        </w:tc>
        <w:tc>
          <w:p>
            <w:pPr>
              <w:pStyle w:val="Compact"/>
              <w:jc w:val="right"/>
            </w:pPr>
            <w:r>
              <w:t xml:space="preserve">(0.658)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bus. equity*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p>
            <w:pPr>
              <w:pStyle w:val="Compact"/>
              <w:jc w:val="right"/>
            </w:pPr>
            <w:r>
              <w:t xml:space="preserve">1.005</w:t>
            </w:r>
          </w:p>
        </w:tc>
        <w:tc>
          <w:p>
            <w:pPr>
              <w:pStyle w:val="Compact"/>
              <w:jc w:val="right"/>
            </w:pPr>
            <w:r>
              <w:t xml:space="preserve">1.263</w:t>
            </w:r>
          </w:p>
        </w:tc>
        <w:tc>
          <w:p>
            <w:pPr>
              <w:pStyle w:val="Compact"/>
              <w:jc w:val="right"/>
            </w:pPr>
            <w:r>
              <w:t xml:space="preserve">1.723</w:t>
            </w:r>
          </w:p>
        </w:tc>
        <w:tc>
          <w:p>
            <w:pPr>
              <w:pStyle w:val="Compact"/>
              <w:jc w:val="right"/>
            </w:pPr>
            <w:r>
              <w:t xml:space="preserve">2.077</w:t>
            </w:r>
          </w:p>
        </w:tc>
        <w:tc>
          <w:p>
            <w:pPr>
              <w:pStyle w:val="Compact"/>
              <w:jc w:val="right"/>
            </w:pPr>
            <w:r>
              <w:t xml:space="preserve">1.155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(0.579)</w:t>
            </w:r>
          </w:p>
        </w:tc>
        <w:tc>
          <w:p>
            <w:pPr>
              <w:pStyle w:val="Compact"/>
              <w:jc w:val="right"/>
            </w:pPr>
            <w:r>
              <w:t xml:space="preserve">(0.509)</w:t>
            </w:r>
          </w:p>
        </w:tc>
        <w:tc>
          <w:p>
            <w:pPr>
              <w:pStyle w:val="Compact"/>
              <w:jc w:val="right"/>
            </w:pPr>
            <w:r>
              <w:t xml:space="preserve">(0.723)</w:t>
            </w:r>
          </w:p>
        </w:tc>
        <w:tc>
          <w:p>
            <w:pPr>
              <w:pStyle w:val="Compact"/>
              <w:jc w:val="right"/>
            </w:pPr>
            <w:r>
              <w:t xml:space="preserve">(0.898)</w:t>
            </w:r>
          </w:p>
        </w:tc>
        <w:tc>
          <w:p>
            <w:pPr>
              <w:pStyle w:val="Compact"/>
              <w:jc w:val="right"/>
            </w:pPr>
            <w:r>
              <w:t xml:space="preserve">(1.049)</w:t>
            </w:r>
          </w:p>
        </w:tc>
        <w:tc>
          <w:p>
            <w:pPr>
              <w:pStyle w:val="Compact"/>
              <w:jc w:val="right"/>
            </w:pPr>
            <w:r>
              <w:t xml:space="preserve">(0.741)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Petty trader**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p>
            <w:pPr>
              <w:pStyle w:val="Compact"/>
              <w:jc w:val="right"/>
            </w:pPr>
            <w:r>
              <w:t xml:space="preserve">0.499</w:t>
            </w:r>
          </w:p>
        </w:tc>
        <w:tc>
          <w:p>
            <w:pPr>
              <w:pStyle w:val="Compact"/>
              <w:jc w:val="right"/>
            </w:pPr>
            <w:r>
              <w:t xml:space="preserve">0.591</w:t>
            </w:r>
          </w:p>
        </w:tc>
        <w:tc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p>
            <w:pPr>
              <w:pStyle w:val="Compact"/>
              <w:jc w:val="right"/>
            </w:pPr>
            <w:r>
              <w:t xml:space="preserve">0.557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(0.302)</w:t>
            </w:r>
          </w:p>
        </w:tc>
        <w:tc>
          <w:p>
            <w:pPr>
              <w:pStyle w:val="Compact"/>
              <w:jc w:val="right"/>
            </w:pPr>
            <w:r>
              <w:t xml:space="preserve">(0.317)</w:t>
            </w:r>
          </w:p>
        </w:tc>
        <w:tc>
          <w:p>
            <w:pPr>
              <w:pStyle w:val="Compact"/>
              <w:jc w:val="right"/>
            </w:pPr>
            <w:r>
              <w:t xml:space="preserve">(0.325)</w:t>
            </w:r>
          </w:p>
        </w:tc>
        <w:tc>
          <w:p>
            <w:pPr>
              <w:pStyle w:val="Compact"/>
              <w:jc w:val="right"/>
            </w:pPr>
            <w:r>
              <w:t xml:space="preserve">(0.325)</w:t>
            </w:r>
          </w:p>
        </w:tc>
        <w:tc>
          <w:p>
            <w:pPr>
              <w:pStyle w:val="Compact"/>
              <w:jc w:val="right"/>
            </w:pPr>
            <w:r>
              <w:t xml:space="preserve">(0.340)</w:t>
            </w:r>
          </w:p>
        </w:tc>
        <w:tc>
          <w:p>
            <w:pPr>
              <w:pStyle w:val="Compact"/>
              <w:jc w:val="right"/>
            </w:pPr>
            <w:r>
              <w:t xml:space="preserve">(0.318)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Clothing**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p>
            <w:pPr>
              <w:pStyle w:val="Compact"/>
              <w:jc w:val="right"/>
            </w:pPr>
            <w:r>
              <w:t xml:space="preserve">0.072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(0.143)</w:t>
            </w:r>
          </w:p>
        </w:tc>
        <w:tc>
          <w:p>
            <w:pPr>
              <w:pStyle w:val="Compact"/>
              <w:jc w:val="right"/>
            </w:pPr>
            <w:r>
              <w:t xml:space="preserve">(0.140)</w:t>
            </w:r>
          </w:p>
        </w:tc>
        <w:tc>
          <w:p>
            <w:pPr>
              <w:pStyle w:val="Compact"/>
              <w:jc w:val="right"/>
            </w:pPr>
            <w:r>
              <w:t xml:space="preserve">(0.168)</w:t>
            </w:r>
          </w:p>
        </w:tc>
        <w:tc>
          <w:p>
            <w:pPr>
              <w:pStyle w:val="Compact"/>
              <w:jc w:val="right"/>
            </w:pPr>
            <w:r>
              <w:t xml:space="preserve">(0.175)</w:t>
            </w:r>
          </w:p>
        </w:tc>
        <w:tc>
          <w:p>
            <w:pPr>
              <w:pStyle w:val="Compact"/>
              <w:jc w:val="right"/>
            </w:pPr>
            <w:r>
              <w:t xml:space="preserve">(0.210)</w:t>
            </w:r>
          </w:p>
        </w:tc>
        <w:tc>
          <w:p>
            <w:pPr>
              <w:pStyle w:val="Compact"/>
              <w:jc w:val="right"/>
            </w:pPr>
            <w:r>
              <w:t xml:space="preserve">(0.154)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Food**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0.170</w:t>
            </w:r>
          </w:p>
        </w:tc>
        <w:tc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p>
            <w:pPr>
              <w:pStyle w:val="Compact"/>
              <w:jc w:val="right"/>
            </w:pPr>
            <w:r>
              <w:t xml:space="preserve">0.163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(0.188)</w:t>
            </w:r>
          </w:p>
        </w:tc>
        <w:tc>
          <w:p>
            <w:pPr>
              <w:pStyle w:val="Compact"/>
              <w:jc w:val="right"/>
            </w:pPr>
            <w:r>
              <w:t xml:space="preserve">(0.218)</w:t>
            </w:r>
          </w:p>
        </w:tc>
        <w:tc>
          <w:p>
            <w:pPr>
              <w:pStyle w:val="Compact"/>
              <w:jc w:val="right"/>
            </w:pPr>
            <w:r>
              <w:t xml:space="preserve">(0.243)</w:t>
            </w:r>
          </w:p>
        </w:tc>
        <w:tc>
          <w:p>
            <w:pPr>
              <w:pStyle w:val="Compact"/>
              <w:jc w:val="right"/>
            </w:pPr>
            <w:r>
              <w:t xml:space="preserve">(0.227)</w:t>
            </w:r>
          </w:p>
        </w:tc>
        <w:tc>
          <w:p>
            <w:pPr>
              <w:pStyle w:val="Compact"/>
              <w:jc w:val="right"/>
            </w:pPr>
            <w:r>
              <w:t xml:space="preserve">(0.221)</w:t>
            </w:r>
          </w:p>
        </w:tc>
        <w:tc>
          <w:p>
            <w:pPr>
              <w:pStyle w:val="Compact"/>
              <w:jc w:val="right"/>
            </w:pPr>
            <w:r>
              <w:t xml:space="preserve">(0.214)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item**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p>
            <w:pPr>
              <w:pStyle w:val="Compact"/>
              <w:jc w:val="right"/>
            </w:pPr>
            <w:r>
              <w:t xml:space="preserve">0.131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(0.169)</w:t>
            </w:r>
          </w:p>
        </w:tc>
        <w:tc>
          <w:p>
            <w:pPr>
              <w:pStyle w:val="Compact"/>
              <w:jc w:val="right"/>
            </w:pPr>
            <w:r>
              <w:t xml:space="preserve">(0.207)</w:t>
            </w:r>
          </w:p>
        </w:tc>
        <w:tc>
          <w:p>
            <w:pPr>
              <w:pStyle w:val="Compact"/>
              <w:jc w:val="right"/>
            </w:pPr>
            <w:r>
              <w:t xml:space="preserve">(0.215)</w:t>
            </w:r>
          </w:p>
        </w:tc>
        <w:tc>
          <w:p>
            <w:pPr>
              <w:pStyle w:val="Compact"/>
              <w:jc w:val="right"/>
            </w:pPr>
            <w:r>
              <w:t xml:space="preserve">(0.201)</w:t>
            </w:r>
          </w:p>
        </w:tc>
        <w:tc>
          <w:p>
            <w:pPr>
              <w:pStyle w:val="Compact"/>
              <w:jc w:val="right"/>
            </w:pPr>
            <w:r>
              <w:t xml:space="preserve">(0.172)</w:t>
            </w:r>
          </w:p>
        </w:tc>
        <w:tc>
          <w:p>
            <w:pPr>
              <w:pStyle w:val="Compact"/>
              <w:jc w:val="right"/>
            </w:pPr>
            <w:r>
              <w:t xml:space="preserve">(0.193)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Service**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(0.059)</w:t>
            </w:r>
          </w:p>
        </w:tc>
        <w:tc>
          <w:p>
            <w:pPr>
              <w:pStyle w:val="Compact"/>
              <w:jc w:val="right"/>
            </w:pPr>
            <w:r>
              <w:t xml:space="preserve">(0.054)</w:t>
            </w:r>
          </w:p>
        </w:tc>
        <w:tc>
          <w:p>
            <w:pPr>
              <w:pStyle w:val="Compact"/>
              <w:jc w:val="right"/>
            </w:pPr>
            <w:r>
              <w:t xml:space="preserve">(0.048)</w:t>
            </w:r>
          </w:p>
        </w:tc>
        <w:tc>
          <w:p>
            <w:pPr>
              <w:pStyle w:val="Compact"/>
              <w:jc w:val="right"/>
            </w:pPr>
            <w:r>
              <w:t xml:space="preserve">(0.065)</w:t>
            </w:r>
          </w:p>
        </w:tc>
        <w:tc>
          <w:p>
            <w:pPr>
              <w:pStyle w:val="Compact"/>
              <w:jc w:val="right"/>
            </w:pPr>
            <w:r>
              <w:t xml:space="preserve">(0.048)</w:t>
            </w:r>
          </w:p>
        </w:tc>
        <w:tc>
          <w:p>
            <w:pPr>
              <w:pStyle w:val="Compact"/>
              <w:jc w:val="right"/>
            </w:pPr>
            <w:r>
              <w:t xml:space="preserve">(0.056)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Rainy season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p>
            <w:pPr>
              <w:pStyle w:val="Compact"/>
              <w:jc w:val="right"/>
            </w:pPr>
            <w:r>
              <w:t xml:space="preserve">0.484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(0.498)</w:t>
            </w:r>
          </w:p>
        </w:tc>
        <w:tc>
          <w:p>
            <w:pPr>
              <w:pStyle w:val="Compact"/>
              <w:jc w:val="right"/>
            </w:pPr>
            <w:r>
              <w:t xml:space="preserve">(0.500)</w:t>
            </w:r>
          </w:p>
        </w:tc>
        <w:tc>
          <w:p>
            <w:pPr>
              <w:pStyle w:val="Compact"/>
              <w:jc w:val="right"/>
            </w:pPr>
            <w:r>
              <w:t xml:space="preserve">(0.500)</w:t>
            </w:r>
          </w:p>
        </w:tc>
        <w:tc>
          <w:p>
            <w:pPr>
              <w:pStyle w:val="Compact"/>
              <w:jc w:val="right"/>
            </w:pPr>
            <w:r>
              <w:t xml:space="preserve">(0.500)</w:t>
            </w:r>
          </w:p>
        </w:tc>
        <w:tc>
          <w:p>
            <w:pPr>
              <w:pStyle w:val="Compact"/>
              <w:jc w:val="right"/>
            </w:pPr>
            <w:r>
              <w:t xml:space="preserve">(0.500)</w:t>
            </w:r>
          </w:p>
        </w:tc>
        <w:tc>
          <w:p>
            <w:pPr>
              <w:pStyle w:val="Compact"/>
              <w:jc w:val="right"/>
            </w:pPr>
            <w:r>
              <w:t xml:space="preserve">(0.500)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City 1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0.222</w:t>
            </w:r>
          </w:p>
        </w:tc>
        <w:tc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0.187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City 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p>
            <w:pPr>
              <w:pStyle w:val="Compact"/>
              <w:jc w:val="right"/>
            </w:pPr>
            <w:r>
              <w:t xml:space="preserve">0.404</w:t>
            </w:r>
          </w:p>
        </w:tc>
        <w:tc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p>
            <w:pPr>
              <w:pStyle w:val="Compact"/>
              <w:jc w:val="right"/>
            </w:pPr>
            <w:r>
              <w:t xml:space="preserve">0.385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City 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0.325</w:t>
            </w:r>
          </w:p>
        </w:tc>
        <w:tc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p>
            <w:pPr>
              <w:pStyle w:val="Compact"/>
              <w:jc w:val="right"/>
            </w:pPr>
            <w:r>
              <w:t xml:space="preserve">0.286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city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loans disbursed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4,015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repayment rounds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10,855</w:t>
            </w:r>
          </w:p>
        </w:tc>
        <w:tc>
          <w:p>
            <w:pPr>
              <w:pStyle w:val="Compact"/>
              <w:jc w:val="right"/>
            </w:pPr>
            <w:r>
              <w:t xml:space="preserve">7,308</w:t>
            </w:r>
          </w:p>
        </w:tc>
        <w:tc>
          <w:p>
            <w:pPr>
              <w:pStyle w:val="Compact"/>
              <w:jc w:val="right"/>
            </w:pPr>
            <w:r>
              <w:t xml:space="preserve">6,505</w:t>
            </w:r>
          </w:p>
        </w:tc>
        <w:tc>
          <w:p>
            <w:pPr>
              <w:pStyle w:val="Compact"/>
              <w:jc w:val="right"/>
            </w:pPr>
            <w:r>
              <w:t xml:space="preserve">4,523</w:t>
            </w:r>
          </w:p>
        </w:tc>
        <w:tc>
          <w:p>
            <w:pPr>
              <w:pStyle w:val="Compact"/>
              <w:jc w:val="right"/>
            </w:pPr>
            <w:r>
              <w:t xml:space="preserve">2,008</w:t>
            </w:r>
          </w:p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</w:tr>
    </w:tbl>
    <w:p>
      <w:pPr>
        <w:pStyle w:val="BodyText"/>
      </w:pPr>
      <w:r>
        <w:t xml:space="preserve">*Average per group member. **Proportion of the group with the correspoding characteristic or engaged in the corresponding business type. Rainy season indicates the number of repayment rounds occuring</w:t>
      </w:r>
      <w:r>
        <w:t xml:space="preserve"> </w:t>
      </w:r>
      <w:r>
        <w:t xml:space="preserve">during rainy season in Sierra Leone (approximately May to November each year).</w:t>
      </w:r>
    </w:p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2026-03-07T11:04:55Z</dcterms:created>
  <dcterms:modified xsi:type="dcterms:W3CDTF">2026-03-07T11:04:55Z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