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-1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p>
            <w:pPr>
              <w:pStyle w:val="Compact"/>
              <w:jc w:val="right"/>
            </w:pPr>
            <w:r>
              <w:t xml:space="preserve">0.60</w:t>
            </w:r>
          </w:p>
        </w:tc>
        <w:tc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0.11</w:t>
            </w:r>
          </w:p>
        </w:tc>
        <w:tc>
          <w:p>
            <w:pPr>
              <w:pStyle w:val="Compact"/>
              <w:jc w:val="right"/>
            </w:pPr>
            <w:r>
              <w:t xml:space="preserve">0.43</w:t>
            </w:r>
          </w:p>
        </w:tc>
        <w:tc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p>
            <w:pPr>
              <w:pStyle w:val="Compact"/>
              <w:jc w:val="right"/>
            </w:pPr>
            <w:r>
              <w:t xml:space="preserve">0.37</w:t>
            </w:r>
          </w:p>
        </w:tc>
        <w:tc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220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p>
            <w:pPr>
              <w:pStyle w:val="Compact"/>
              <w:jc w:val="right"/>
            </w:pPr>
            <w:r>
              <w:t xml:space="preserve">0.49</w:t>
            </w:r>
          </w:p>
        </w:tc>
        <w:tc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369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p>
            <w:pPr>
              <w:pStyle w:val="Compact"/>
              <w:jc w:val="right"/>
            </w:pPr>
            <w:r>
              <w:t xml:space="preserve">0.70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975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p>
            <w:pPr>
              <w:pStyle w:val="Compact"/>
              <w:jc w:val="right"/>
            </w:pPr>
            <w:r>
              <w:t xml:space="preserve">10</w:t>
            </w:r>
          </w:p>
        </w:tc>
      </w:tr>
    </w:tbl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-1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p>
            <w:pPr>
              <w:pStyle w:val="Compact"/>
              <w:jc w:val="right"/>
            </w:pPr>
            <w:r>
              <w:t xml:space="preserve">0.38</w:t>
            </w:r>
          </w:p>
        </w:tc>
        <w:tc>
          <w:p>
            <w:pPr>
              <w:pStyle w:val="Compact"/>
              <w:jc w:val="right"/>
            </w:pPr>
            <w:r>
              <w:t xml:space="preserve">0.38</w:t>
            </w:r>
          </w:p>
        </w:tc>
        <w:tc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0.19</w:t>
            </w:r>
          </w:p>
        </w:tc>
        <w:tc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p>
            <w:pPr>
              <w:pStyle w:val="Compact"/>
              <w:jc w:val="right"/>
            </w:pPr>
            <w:r>
              <w:t xml:space="preserve">0.37</w:t>
            </w:r>
          </w:p>
        </w:tc>
        <w:tc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129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p>
            <w:pPr>
              <w:pStyle w:val="Compact"/>
              <w:jc w:val="right"/>
            </w:pPr>
            <w:r>
              <w:t xml:space="preserve">0.11</w:t>
            </w:r>
          </w:p>
        </w:tc>
        <w:tc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165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p>
            <w:pPr>
              <w:pStyle w:val="Compact"/>
              <w:jc w:val="right"/>
            </w:pPr>
            <w:r>
              <w:t xml:space="preserve">0.69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687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0.80</w:t>
            </w:r>
          </w:p>
        </w:tc>
        <w:tc>
          <w:p>
            <w:pPr>
              <w:pStyle w:val="Compact"/>
              <w:jc w:val="right"/>
            </w:pPr>
            <w:r>
              <w:t xml:space="preserve">5</w:t>
            </w:r>
          </w:p>
        </w:tc>
      </w:tr>
    </w:tbl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-1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p>
            <w:pPr>
              <w:pStyle w:val="Compact"/>
              <w:jc w:val="right"/>
            </w:pPr>
            <w:r>
              <w:t xml:space="preserve">0.46</w:t>
            </w:r>
          </w:p>
        </w:tc>
        <w:tc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p>
            <w:pPr>
              <w:pStyle w:val="Compact"/>
              <w:jc w:val="right"/>
            </w:pPr>
            <w:r>
              <w:t xml:space="preserve">0.11</w:t>
            </w:r>
          </w:p>
        </w:tc>
        <w:tc>
          <w:p>
            <w:pPr>
              <w:pStyle w:val="Compact"/>
              <w:jc w:val="right"/>
            </w:pPr>
            <w:r>
              <w:t xml:space="preserve">0.53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92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0.24</w:t>
            </w:r>
          </w:p>
        </w:tc>
        <w:tc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p>
            <w:pPr>
              <w:pStyle w:val="Compact"/>
              <w:jc w:val="right"/>
            </w:pPr>
            <w:r>
              <w:t xml:space="preserve">0.39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114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p>
            <w:pPr>
              <w:pStyle w:val="Compact"/>
              <w:jc w:val="right"/>
            </w:pPr>
            <w:r>
              <w:t xml:space="preserve">0.11</w:t>
            </w:r>
          </w:p>
        </w:tc>
        <w:tc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p>
            <w:pPr>
              <w:pStyle w:val="Compact"/>
              <w:jc w:val="right"/>
            </w:pPr>
            <w:r>
              <w:t xml:space="preserve">0.46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479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0.50</w:t>
            </w:r>
          </w:p>
        </w:tc>
        <w:tc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p>
            <w:pPr>
              <w:pStyle w:val="Compact"/>
              <w:jc w:val="right"/>
            </w:pPr>
            <w:r>
              <w:t xml:space="preserve">4</w:t>
            </w:r>
          </w:p>
        </w:tc>
      </w:tr>
    </w:tbl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-1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right"/>
            </w:pPr>
            <w:r>
              <w:t xml:space="preserve">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0.27</w:t>
            </w:r>
          </w:p>
        </w:tc>
        <w:tc>
          <w:p>
            <w:pPr>
              <w:pStyle w:val="Compact"/>
              <w:jc w:val="right"/>
            </w:pPr>
            <w:r>
              <w:t xml:space="preserve">0.38</w:t>
            </w:r>
          </w:p>
        </w:tc>
        <w:tc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p>
            <w:pPr>
              <w:pStyle w:val="Compact"/>
              <w:jc w:val="right"/>
            </w:pPr>
            <w:r>
              <w:t xml:space="preserve">0.30</w:t>
            </w:r>
          </w:p>
        </w:tc>
        <w:tc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p>
            <w:pPr>
              <w:pStyle w:val="Compact"/>
              <w:jc w:val="right"/>
            </w:pPr>
            <w:r>
              <w:t xml:space="preserve">0.32</w:t>
            </w:r>
          </w:p>
        </w:tc>
        <w:tc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105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0.26</w:t>
            </w:r>
          </w:p>
        </w:tc>
        <w:tc>
          <w:p>
            <w:pPr>
              <w:pStyle w:val="Compact"/>
              <w:jc w:val="right"/>
            </w:pPr>
            <w:r>
              <w:t xml:space="preserve">0.29</w:t>
            </w:r>
          </w:p>
        </w:tc>
        <w:tc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p>
            <w:pPr>
              <w:pStyle w:val="Compact"/>
              <w:jc w:val="right"/>
            </w:pPr>
            <w:r>
              <w:t xml:space="preserve">0.36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78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p>
            <w:pPr>
              <w:pStyle w:val="Compact"/>
              <w:jc w:val="right"/>
            </w:pPr>
            <w:r>
              <w:t xml:space="preserve">0.24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223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/>
        </w:tc>
        <w:tc>
          <w:p/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Tables separated by transition number. In each table, 0 denotes nonrenewal after repaying in full all rounds of the last cycle, -1 denotes nonrenewal that is not 0</w:t>
      </w:r>
    </w:p>
    <w:sectPr w:rsidR="003815BD" w:rsidRPr="004331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87B0E19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79016A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FAA429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9A0F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A7C1EC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0A022A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F041D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A2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A46C5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D94D7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rsid w:val="004331FF"/>
    <w:pPr>
      <w:spacing w:after="120"/>
      <w:jc w:val="center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rsid w:val="004331FF"/>
    <w:pPr>
      <w:keepNext/>
      <w:jc w:val="center"/>
    </w:pPr>
  </w:style>
  <w:style w:type="character" w:customStyle="1" w:styleId="CaptionChar">
    <w:name w:val="Caption Char"/>
    <w:basedOn w:val="DefaultParagraphFont"/>
    <w:link w:val="Caption"/>
    <w:rsid w:val="004331FF"/>
    <w:rPr>
      <w:i/>
    </w:rPr>
  </w:style>
  <w:style w:type="character" w:customStyle="1" w:styleId="VerbatimChar">
    <w:name w:val="Verbatim Char"/>
    <w:basedOn w:val="BodyTextChar"/>
    <w:rsid w:val="004331FF"/>
    <w:rPr>
      <w:rFonts w:ascii="Consolas" w:hAnsi="Consolas"/>
      <w:i w:val="0"/>
      <w:sz w:val="21"/>
    </w:rPr>
  </w:style>
  <w:style w:type="character" w:styleId="FootnoteReference">
    <w:name w:val="footnote reference"/>
    <w:basedOn w:val="CaptionChar"/>
    <w:rPr>
      <w:i/>
      <w:vertAlign w:val="superscript"/>
    </w:rPr>
  </w:style>
  <w:style w:type="character" w:styleId="Hyperlink">
    <w:name w:val="Hyperlink"/>
    <w:basedOn w:val="CaptionChar"/>
    <w:rPr>
      <w:i/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character" w:customStyle="1" w:styleId="Underline">
    <w:name w:val="Underline"/>
    <w:basedOn w:val="DefaultParagraphFont"/>
    <w:uiPriority w:val="1"/>
    <w:qFormat/>
    <w:rsid w:val="004331FF"/>
    <w:rPr>
      <w:u w:val="single"/>
    </w:rPr>
  </w:style>
  <w:style w:type="character" w:customStyle="1" w:styleId="BodyTextChar">
    <w:name w:val="Body Text Char"/>
    <w:basedOn w:val="DefaultParagraphFont"/>
    <w:link w:val="BodyText"/>
    <w:rsid w:val="004331FF"/>
  </w:style>
  <w:style w:type="character" w:customStyle="1" w:styleId="Highlight">
    <w:name w:val="Highlight"/>
    <w:basedOn w:val="Underline"/>
    <w:uiPriority w:val="1"/>
    <w:qFormat/>
    <w:rsid w:val="00813E47"/>
    <w:rPr>
      <w:u w:val="none"/>
      <w:bdr w:val="none" w:sz="0" w:space="0" w:color="auto"/>
      <w:shd w:val="clear" w:color="auto" w:fill="FFFF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2026-03-07T11:05:28Z</dcterms:created>
  <dcterms:modified xsi:type="dcterms:W3CDTF">2026-03-07T11:05:28Z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