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52. </w:t>
      </w:r>
      <w:r>
        <w:rPr>
          <w:i/>
        </w:rPr>
        <w:t xml:space="preserve">See also</w:t>
      </w:r>
      <w:r>
        <w:t> class: decorator; function: decorators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</w:t>
      </w:r>
      <w:r>
        <w:rPr>
          <w:i/>
        </w:rPr>
        <w:t xml:space="preserve">See</w:t>
      </w:r>
      <w:r>
        <w:t> function. </w:t>
      </w:r>
      <w:r>
        <w:rPr>
          <w:i/>
        </w:rPr>
        <w:t xml:space="preserve">See also</w:t>
      </w:r>
      <w:r>
        <w:t> unbound method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</w:t>
      </w:r>
      <w:r>
        <w:rPr>
          <w:i/>
        </w:rPr>
        <w:t xml:space="preserve">See</w:t>
      </w:r>
      <w:r>
        <w:t>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 (</w:t>
      </w:r>
      <w:r>
        <w:rPr>
          <w:i/>
        </w:rPr>
        <w:t xml:space="preserve">see also</w:t>
      </w:r>
      <w:r>
        <w:t> special methods and under attribute names)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__class__</w:t>
      </w:r>
      <w:r>
        <w:t>, 25, 222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decorator, 36, 48, 54–59 (</w:t>
      </w:r>
      <w:r>
        <w:rPr>
          <w:i/>
        </w:rPr>
        <w:t xml:space="preserve">see also</w:t>
      </w:r>
      <w:r>
        <w:t> function)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Class, 21, 32–35</w:t>
      </w:r>
    </w:p>
    <!-- sub3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2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</w:t>
      </w:r>
      <w:r>
        <w:rPr>
          <w:i/>
        </w:rPr>
        <w:t xml:space="preserve">see</w:t>
      </w:r>
      <w:r>
        <w:t>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cylinders, 268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lines, 130–31, 271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spheres, 277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get()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160–61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put()</w:t>
      </w:r>
      <w:r>
        <w:t>, 158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t>, 160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2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</w:t>
      </w:r>
      <w:r>
        <w:rPr>
          <w:i/>
        </w:rPr>
        <w:t xml:space="preserve">see</w:t>
      </w:r>
      <w:r>
        <w:t>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methods. </w:t>
      </w:r>
      <w:r>
        <w:rPr>
          <w:i/>
        </w:rPr>
        <w:t xml:space="preserve">See also</w:t>
      </w:r>
      <w:r>
        <w:t> class: attributes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70. </w:t>
      </w:r>
      <w:r>
        <w:rPr>
          <w:i/>
        </w:rPr>
        <w:t xml:space="preserve">See also</w:t>
      </w:r>
      <w:r>
        <w:t> function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243. </w:t>
      </w:r>
      <w:r>
        <w:rPr>
          <w:i/>
        </w:rPr>
        <w:t xml:space="preserve">See also</w:t>
      </w:r>
      <w:r>
        <w:t> UTF-8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xref. </w:t>
      </w:r>
      <w:r>
        <w:rPr>
          <w:i/>
        </w:rPr>
        <w:t xml:space="preserve">See also</w:t>
      </w:r>
      <w:r>
        <w:t> class: dynamic creation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#2. </w:t>
      </w:r>
      <w:r>
        <w:rPr>
          <w:i/>
        </w:rPr>
        <w:t xml:space="preserve">See also</w:t>
      </w:r>
      <w:r>
        <w:t> class: decorator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</w:t>
      </w:r>
      <w:r>
        <w:rPr>
          <w:i/>
        </w:rPr>
        <w:t xml:space="preserve">See</w:t>
      </w:r>
      <w:r>
        <w:t> class</w:t>
      </w:r>
    </w:p>
    <!-- main -->
    <w:p>
      <w:br/>
    </w:p>
    <w:p>
      <w:pPr>
        <w:rPr>
          <w:rFonts w:ascii="Arial" w:hAnsi="Arial"/>
          <w:sz w:val="22"/>
        </w:rPr>
      </w:pPr>
      <w:r>
        <w:t xml:space="preserve"/>
      </w:r>
      <w:r>
        <w:rPr>
          <w:rFonts w:ascii="arial" w:hAnsi="arial"/>
          <w:sz w:val="22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