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b/>
          <w:color w:val="1D4ED8"/>
          <w:sz w:val="52"/>
        </w:rPr>
        <w:t>GDPR / AVG Compliance Audit</w:t>
        <w:br/>
      </w:r>
      <w:r>
        <w:rPr>
          <w:i/>
          <w:color w:val="4B5563"/>
          <w:sz w:val="32"/>
        </w:rPr>
        <w:t>Digidokters Registratie- &amp; Beheersysteem</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Document Type</w:t>
            </w:r>
          </w:p>
        </w:tc>
        <w:tc>
          <w:tcPr>
            <w:tcW w:type="dxa" w:w="4320"/>
          </w:tcPr>
          <w:p>
            <w:r>
              <w:rPr>
                <w:sz w:val="20"/>
              </w:rPr>
              <w:t>GDPR / AVG Compliance Audit &amp; Assessment</w:t>
            </w:r>
          </w:p>
        </w:tc>
      </w:tr>
      <w:tr>
        <w:tc>
          <w:tcPr>
            <w:tcW w:type="dxa" w:w="4320"/>
          </w:tcPr>
          <w:p>
            <w:r>
              <w:rPr>
                <w:b/>
                <w:sz w:val="20"/>
              </w:rPr>
              <w:t>Audit Datum</w:t>
            </w:r>
          </w:p>
        </w:tc>
        <w:tc>
          <w:tcPr>
            <w:tcW w:type="dxa" w:w="4320"/>
          </w:tcPr>
          <w:p>
            <w:r>
              <w:rPr>
                <w:sz w:val="20"/>
              </w:rPr>
              <w:t>22 juli 2026</w:t>
            </w:r>
          </w:p>
        </w:tc>
      </w:tr>
      <w:tr>
        <w:tc>
          <w:tcPr>
            <w:tcW w:type="dxa" w:w="4320"/>
          </w:tcPr>
          <w:p>
            <w:r>
              <w:rPr>
                <w:b/>
                <w:sz w:val="20"/>
              </w:rPr>
              <w:t>Status</w:t>
            </w:r>
          </w:p>
        </w:tc>
        <w:tc>
          <w:tcPr>
            <w:tcW w:type="dxa" w:w="4320"/>
          </w:tcPr>
          <w:p>
            <w:r>
              <w:rPr>
                <w:sz w:val="20"/>
              </w:rPr>
              <w:t>GESLAAGD / COMPLIANT</w:t>
            </w:r>
          </w:p>
        </w:tc>
      </w:tr>
      <w:tr>
        <w:tc>
          <w:tcPr>
            <w:tcW w:type="dxa" w:w="4320"/>
          </w:tcPr>
          <w:p>
            <w:r>
              <w:rPr>
                <w:b/>
                <w:sz w:val="20"/>
              </w:rPr>
              <w:t>Applicatie URL</w:t>
            </w:r>
          </w:p>
        </w:tc>
        <w:tc>
          <w:tcPr>
            <w:tcW w:type="dxa" w:w="4320"/>
          </w:tcPr>
          <w:p>
            <w:r>
              <w:rPr>
                <w:sz w:val="20"/>
              </w:rPr>
              <w:t>https://digidokters.onrender.com</w:t>
            </w:r>
          </w:p>
        </w:tc>
      </w:tr>
      <w:tr>
        <w:tc>
          <w:tcPr>
            <w:tcW w:type="dxa" w:w="4320"/>
          </w:tcPr>
          <w:p>
            <w:r>
              <w:rPr>
                <w:b/>
                <w:sz w:val="20"/>
              </w:rPr>
              <w:t>Doelgroep</w:t>
            </w:r>
          </w:p>
        </w:tc>
        <w:tc>
          <w:tcPr>
            <w:tcW w:type="dxa" w:w="4320"/>
          </w:tcPr>
          <w:p>
            <w:r>
              <w:rPr>
                <w:sz w:val="20"/>
              </w:rPr>
              <w:t>Vrijwilligers (Digidokters) &amp; Cliënten (Bezoekers)</w:t>
            </w:r>
          </w:p>
        </w:tc>
      </w:tr>
    </w:tbl>
    <w:p>
      <w:r>
        <w:br/>
      </w:r>
    </w:p>
    <w:p>
      <w:pPr>
        <w:pStyle w:val="Heading1"/>
      </w:pPr>
      <w:r>
        <w:rPr>
          <w:color w:val="1D4ED8"/>
        </w:rPr>
        <w:t>1. Inleiding</w:t>
      </w:r>
    </w:p>
    <w:p>
      <w:r>
        <w:t>Dit document bevat het resultaat van de GDPR / AVG compliance audit voor het Digidokters platform. Digidokters is een multi-tenant registratie- en beheersysteem dat wordt gebruikt door vrijwilligers om IT-ondersteuning aan burgers te administreren en te plannen. De audit toont aan hoe de applicatie voldoet aan de wetgeving rondom de Algemene Verordening Gegevensbescherming (AVG).</w:t>
      </w:r>
    </w:p>
    <w:p>
      <w:pPr>
        <w:pStyle w:val="Heading1"/>
      </w:pPr>
      <w:r>
        <w:rPr>
          <w:color w:val="1D4ED8"/>
        </w:rPr>
        <w:t>2. Gegevensstromen &amp; Verwerkingsdoeleinden</w:t>
      </w:r>
    </w:p>
    <w:p>
      <w:r>
        <w:t>Binnen het platform worden gegevens opgeslagen in een beveiligde Supabase PostgreSQL database. Er worden uitsluitend gegevens verwerkt die strikt noodzakelijk zijn voor het functioneren van de werking (Accountbeheer, Sessieplanning en Geanonimiseerde Statistieken).</w:t>
      </w:r>
    </w:p>
    <w:p>
      <w:pPr>
        <w:pStyle w:val="Heading1"/>
      </w:pPr>
      <w:r>
        <w:rPr>
          <w:color w:val="1D4ED8"/>
        </w:rPr>
        <w:t>3. AVG Beginselen &amp; Technische Implementaties</w:t>
      </w:r>
    </w:p>
    <w:p>
      <w:pPr>
        <w:pStyle w:val="Heading2"/>
      </w:pPr>
      <w:r>
        <w:t>3.1 Dataminimalisatie (Art. 5 lid 1 sub c)</w:t>
      </w:r>
    </w:p>
    <w:p>
      <w:r>
        <w:t>De applicatie dwingt dataminimalisatie af door middel van gerichte gebruikersinterface-aanpassingen:</w:t>
        <w:br/>
        <w:t>• Cliënt-invoer: Het invoerveld in de registratieschermen vraagt expliciet om 'Voornaam of initialen' in plaats van een volledige naam. Tevens is er een AVG-hulpmelding toegevoegd die waarschuwt geen volledige namen in te voeren.</w:t>
        <w:br/>
        <w:t>• Vrije tekstvelden: Onder het onderwerpveld is een instructie toegevoegd die vrijwilligers verplicht hulpvragen functioneel en anoniem te omschrijven en medische of gevoelige details te vermijden.</w:t>
      </w:r>
    </w:p>
    <w:p>
      <w:pPr>
        <w:pStyle w:val="Heading2"/>
      </w:pPr>
      <w:r>
        <w:t>3.2 Recht op Vergetelheid / Verwijdering (Art. 17)</w:t>
      </w:r>
    </w:p>
    <w:p>
      <w:r>
        <w:t>Indien een cliënt verzoekt om verwijdering van diens persoonsgegevens, is de applicatie zo geprogrammeerd dat:</w:t>
        <w:br/>
        <w:t>• Bij de deletie van een registratie direct een database-cascade of handmatige opschoning plaatsvindt die alle bijbehorende records in het audit-logboek (waarin historische gegevens of wijzigingsdetails stonden) volledig en permanent wist.</w:t>
        <w:br/>
        <w:t>• Hierdoor blijven er geen 'sporen' of namen achter in logbestanden na verwijdering.</w:t>
      </w:r>
    </w:p>
    <w:p>
      <w:pPr>
        <w:pStyle w:val="Heading2"/>
      </w:pPr>
      <w:r>
        <w:t>3.3 Informatieplicht &amp; Transparantie (Art. 13)</w:t>
      </w:r>
    </w:p>
    <w:p>
      <w:r>
        <w:t>• Op het inlogscherm van de applicatie is een beknopte privacyverklaring getoond die gebruikers informeert over de doeleinden van de verwerking en het gebruik van auditing.</w:t>
        <w:br/>
        <w:t>• In de sidebar van de applicatie is voor elke ingelogde vrijwilliger direct een link 'Privacy &amp; AVG' beschikbaar. Deze opent een gedetailleerde modal-popup met specifieke privacy-instructies en auditing-details.</w:t>
      </w:r>
    </w:p>
    <w:p>
      <w:pPr>
        <w:pStyle w:val="Heading2"/>
      </w:pPr>
      <w:r>
        <w:t>3.4 Opslagbeperking (Art. 5 lid 1 sub e)</w:t>
      </w:r>
    </w:p>
    <w:p>
      <w:r>
        <w:t>• Het platform hanteert een strikt opschoningbeleid voor de audit logs.</w:t>
        <w:br/>
        <w:t>• Er is een bewaartermijn van 365 dagen ingesteld. Er is een CLI-opruimcommando ('flask clean-audit-logs') en een geautomatiseerde GitHub Action-workflow aanwezig die maandelijks alle logs ouder dan een jaar definitief verwijdert. Tevens kan de beheerder deze opschoning op elk gewenst moment handmatig triggeren via de interface.</w:t>
      </w:r>
    </w:p>
    <w:p>
      <w:pPr>
        <w:pStyle w:val="Heading2"/>
      </w:pPr>
      <w:r>
        <w:t>3.5 Integriteit &amp; Vertrouwelijkheid / Beveiliging (Art. 32)</w:t>
      </w:r>
    </w:p>
    <w:p>
      <w:r>
        <w:t>De technische infrastructuur is beveiligd door:</w:t>
        <w:br/>
        <w:t>• Versleuteling: Alle verbindingen verlopen verplicht via HTTPS (SSL).</w:t>
        <w:br/>
        <w:t>• Wachtwoordbeveiliging: Wachtwoorden worden cryptografisch gehasht opgeslagen met een sterk algoritme (Scrypt/PBKDF2).</w:t>
        <w:br/>
        <w:t>• Backups: Er is een wekelijkse, geautomatiseerde en beveiligde database-backup geconfigureerd via GitHub Actions, die direct versleuteld als bijlage naar de beheerder wordt verzonden.</w:t>
        <w:br/>
        <w:t>• Wachtwoordverloop: Beheerders kunnen handmatig een wachtwoordwijziging afdwingen voor medewerkers om de toegang periodiek te beveiligen.</w:t>
      </w:r>
    </w:p>
    <w:p>
      <w:pPr>
        <w:pStyle w:val="Heading1"/>
      </w:pPr>
      <w:r>
        <w:rPr>
          <w:color w:val="1D4ED8"/>
        </w:rPr>
        <w:t>4. Conclusie</w:t>
      </w:r>
    </w:p>
    <w:p>
      <w:r>
        <w:t>Op basis van de technische en organisatorische maatregelen die in de applicatie zijn doorgevoerd, voldoet de Digidokters-applicatie aan de vereisten van de Algemene Verordening Gegevensbescherming (AVG/GDPR). Het systeem is gecertificeerd als COMPLIANT voor kleinschalig gebruik binnen de IT-ondersteuningswerking.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17"/>
      </w:rPr>
      <w:t>Vertrouwelijk – Digidokters GDPR Audit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