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48"/>
        </w:rPr>
        <w:t>Security Audit &amp; Risico-Analyse</w:t>
      </w:r>
    </w:p>
    <w:p>
      <w:pPr>
        <w:jc w:val="center"/>
      </w:pPr>
      <w:r>
        <w:rPr>
          <w:rFonts w:ascii="Arial" w:hAnsi="Arial"/>
          <w:i/>
          <w:color w:val="708090"/>
          <w:sz w:val="28"/>
        </w:rPr>
        <w:t>Digidokters Platform — Status: Gemitigeerd</w:t>
      </w:r>
    </w:p>
    <w:p>
      <w:pPr>
        <w:spacing w:before="400"/>
      </w:pPr>
    </w:p>
    <w:p>
      <w:pPr>
        <w:pStyle w:val="Heading1"/>
      </w:pPr>
      <w:r>
        <w:rPr>
          <w:color w:val="1B365D"/>
        </w:rPr>
        <w:t>1. Inleiding</w:t>
      </w:r>
    </w:p>
    <w:p>
      <w:pPr>
        <w:spacing w:line="276" w:lineRule="auto" w:after="240"/>
      </w:pPr>
      <w:r>
        <w:t>Dit document bevat het rapport van de herhaalde security audit van het Digidokters platform. Naar aanleiding van de eerdere audit (juli 2026) zijn de geïdentificeerde kwetsbaarheden op het gebied van multi-tenancy isolatie, invoervalidatie, cryptografie en cookie-beveiliging onderzocht en opgelost. Dit rapport evalueert de effectiviteit van de getroffen maatregelen.</w:t>
      </w:r>
    </w:p>
    <w:p>
      <w:pPr>
        <w:pStyle w:val="Heading1"/>
      </w:pPr>
      <w:r>
        <w:rPr>
          <w:color w:val="1B365D"/>
        </w:rPr>
        <w:t>2. Status Samenvatting</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shd w:fill="1B365D"/>
            <w:tcMar>
              <w:top w:w="100" w:type="dxa"/>
              <w:bottom w:w="100" w:type="dxa"/>
              <w:left w:w="150" w:type="dxa"/>
              <w:right w:w="150" w:type="dxa"/>
            </w:tcMar>
          </w:tcPr>
          <w:p>
            <w:r>
              <w:rPr>
                <w:b/>
                <w:color w:val="FFFFFF"/>
              </w:rPr>
              <w:t>ID</w:t>
            </w:r>
          </w:p>
        </w:tc>
        <w:tc>
          <w:tcPr>
            <w:tcW w:type="dxa" w:w="2160"/>
            <w:shd w:fill="1B365D"/>
            <w:tcMar>
              <w:top w:w="100" w:type="dxa"/>
              <w:bottom w:w="100" w:type="dxa"/>
              <w:left w:w="150" w:type="dxa"/>
              <w:right w:w="150" w:type="dxa"/>
            </w:tcMar>
          </w:tcPr>
          <w:p>
            <w:r>
              <w:rPr>
                <w:b/>
                <w:color w:val="FFFFFF"/>
              </w:rPr>
              <w:t>Risiconiveau</w:t>
            </w:r>
          </w:p>
        </w:tc>
        <w:tc>
          <w:tcPr>
            <w:tcW w:type="dxa" w:w="2160"/>
            <w:shd w:fill="1B365D"/>
            <w:tcMar>
              <w:top w:w="100" w:type="dxa"/>
              <w:bottom w:w="100" w:type="dxa"/>
              <w:left w:w="150" w:type="dxa"/>
              <w:right w:w="150" w:type="dxa"/>
            </w:tcMar>
          </w:tcPr>
          <w:p>
            <w:r>
              <w:rPr>
                <w:b/>
                <w:color w:val="FFFFFF"/>
              </w:rPr>
              <w:t>Kwetsbaarheid</w:t>
            </w:r>
          </w:p>
        </w:tc>
        <w:tc>
          <w:tcPr>
            <w:tcW w:type="dxa" w:w="2160"/>
            <w:shd w:fill="1B365D"/>
            <w:tcMar>
              <w:top w:w="100" w:type="dxa"/>
              <w:bottom w:w="100" w:type="dxa"/>
              <w:left w:w="150" w:type="dxa"/>
              <w:right w:w="150" w:type="dxa"/>
            </w:tcMar>
          </w:tcPr>
          <w:p>
            <w:r>
              <w:rPr>
                <w:b/>
                <w:color w:val="FFFFFF"/>
              </w:rPr>
              <w:t>Status</w:t>
            </w:r>
          </w:p>
        </w:tc>
      </w:tr>
      <w:tr>
        <w:tc>
          <w:tcPr>
            <w:tcW w:type="dxa" w:w="2160"/>
            <w:tcMar>
              <w:top w:w="100" w:type="dxa"/>
              <w:bottom w:w="100" w:type="dxa"/>
              <w:left w:w="150" w:type="dxa"/>
              <w:right w:w="150" w:type="dxa"/>
            </w:tcMar>
          </w:tcPr>
          <w:p>
            <w:r>
              <w:t>SEC-01</w:t>
            </w:r>
          </w:p>
        </w:tc>
        <w:tc>
          <w:tcPr>
            <w:tcW w:type="dxa" w:w="2160"/>
            <w:tcMar>
              <w:top w:w="100" w:type="dxa"/>
              <w:bottom w:w="100" w:type="dxa"/>
              <w:left w:w="150" w:type="dxa"/>
              <w:right w:w="150" w:type="dxa"/>
            </w:tcMar>
          </w:tcPr>
          <w:p>
            <w:r>
              <w:t>Hoog</w:t>
            </w:r>
          </w:p>
        </w:tc>
        <w:tc>
          <w:tcPr>
            <w:tcW w:type="dxa" w:w="2160"/>
            <w:tcMar>
              <w:top w:w="100" w:type="dxa"/>
              <w:bottom w:w="100" w:type="dxa"/>
              <w:left w:w="150" w:type="dxa"/>
              <w:right w:w="150" w:type="dxa"/>
            </w:tcMar>
          </w:tcPr>
          <w:p>
            <w:r>
              <w:t>Cross-Tenant Data Verwijdering via Audit Log Opschonen</w:t>
            </w:r>
          </w:p>
        </w:tc>
        <w:tc>
          <w:tcPr>
            <w:tcW w:type="dxa" w:w="2160"/>
            <w:shd w:fill="D4EDDA"/>
            <w:tcMar>
              <w:top w:w="100" w:type="dxa"/>
              <w:bottom w:w="100" w:type="dxa"/>
              <w:left w:w="150" w:type="dxa"/>
              <w:right w:w="150" w:type="dxa"/>
            </w:tcMar>
          </w:tcPr>
          <w:p>
            <w:r>
              <w:rPr>
                <w:b/>
                <w:color w:val="155724"/>
              </w:rPr>
              <w:t>OPGELOST</w:t>
            </w:r>
          </w:p>
        </w:tc>
      </w:tr>
      <w:tr>
        <w:tc>
          <w:tcPr>
            <w:tcW w:type="dxa" w:w="2160"/>
            <w:tcMar>
              <w:top w:w="100" w:type="dxa"/>
              <w:bottom w:w="100" w:type="dxa"/>
              <w:left w:w="150" w:type="dxa"/>
              <w:right w:w="150" w:type="dxa"/>
            </w:tcMar>
          </w:tcPr>
          <w:p>
            <w:r>
              <w:t>SEC-02</w:t>
            </w:r>
          </w:p>
        </w:tc>
        <w:tc>
          <w:tcPr>
            <w:tcW w:type="dxa" w:w="2160"/>
            <w:tcMar>
              <w:top w:w="100" w:type="dxa"/>
              <w:bottom w:w="100" w:type="dxa"/>
              <w:left w:w="150" w:type="dxa"/>
              <w:right w:w="150" w:type="dxa"/>
            </w:tcMar>
          </w:tcPr>
          <w:p>
            <w:r>
              <w:t>Medium</w:t>
            </w:r>
          </w:p>
        </w:tc>
        <w:tc>
          <w:tcPr>
            <w:tcW w:type="dxa" w:w="2160"/>
            <w:tcMar>
              <w:top w:w="100" w:type="dxa"/>
              <w:bottom w:w="100" w:type="dxa"/>
              <w:left w:w="150" w:type="dxa"/>
              <w:right w:w="150" w:type="dxa"/>
            </w:tcMar>
          </w:tcPr>
          <w:p>
            <w:r>
              <w:t>Stored Cross-Site Scripting (XSS) via Document Preview</w:t>
            </w:r>
          </w:p>
        </w:tc>
        <w:tc>
          <w:tcPr>
            <w:tcW w:type="dxa" w:w="2160"/>
            <w:shd w:fill="D4EDDA"/>
            <w:tcMar>
              <w:top w:w="100" w:type="dxa"/>
              <w:bottom w:w="100" w:type="dxa"/>
              <w:left w:w="150" w:type="dxa"/>
              <w:right w:w="150" w:type="dxa"/>
            </w:tcMar>
          </w:tcPr>
          <w:p>
            <w:r>
              <w:rPr>
                <w:b/>
                <w:color w:val="155724"/>
              </w:rPr>
              <w:t>OPGELOST</w:t>
            </w:r>
          </w:p>
        </w:tc>
      </w:tr>
      <w:tr>
        <w:tc>
          <w:tcPr>
            <w:tcW w:type="dxa" w:w="2160"/>
            <w:tcMar>
              <w:top w:w="100" w:type="dxa"/>
              <w:bottom w:w="100" w:type="dxa"/>
              <w:left w:w="150" w:type="dxa"/>
              <w:right w:w="150" w:type="dxa"/>
            </w:tcMar>
          </w:tcPr>
          <w:p>
            <w:r>
              <w:t>SEC-03</w:t>
            </w:r>
          </w:p>
        </w:tc>
        <w:tc>
          <w:tcPr>
            <w:tcW w:type="dxa" w:w="2160"/>
            <w:tcMar>
              <w:top w:w="100" w:type="dxa"/>
              <w:bottom w:w="100" w:type="dxa"/>
              <w:left w:w="150" w:type="dxa"/>
              <w:right w:w="150" w:type="dxa"/>
            </w:tcMar>
          </w:tcPr>
          <w:p>
            <w:r>
              <w:t>Medium</w:t>
            </w:r>
          </w:p>
        </w:tc>
        <w:tc>
          <w:tcPr>
            <w:tcW w:type="dxa" w:w="2160"/>
            <w:tcMar>
              <w:top w:w="100" w:type="dxa"/>
              <w:bottom w:w="100" w:type="dxa"/>
              <w:left w:w="150" w:type="dxa"/>
              <w:right w:w="150" w:type="dxa"/>
            </w:tcMar>
          </w:tcPr>
          <w:p>
            <w:r>
              <w:t>Onveilige Random Code Generatie &amp; Ontbrekende Lockout</w:t>
            </w:r>
          </w:p>
        </w:tc>
        <w:tc>
          <w:tcPr>
            <w:tcW w:type="dxa" w:w="2160"/>
            <w:shd w:fill="D4EDDA"/>
            <w:tcMar>
              <w:top w:w="100" w:type="dxa"/>
              <w:bottom w:w="100" w:type="dxa"/>
              <w:left w:w="150" w:type="dxa"/>
              <w:right w:w="150" w:type="dxa"/>
            </w:tcMar>
          </w:tcPr>
          <w:p>
            <w:r>
              <w:rPr>
                <w:b/>
                <w:color w:val="155724"/>
              </w:rPr>
              <w:t>OPGELOST</w:t>
            </w:r>
          </w:p>
        </w:tc>
      </w:tr>
      <w:tr>
        <w:tc>
          <w:tcPr>
            <w:tcW w:type="dxa" w:w="2160"/>
            <w:tcMar>
              <w:top w:w="100" w:type="dxa"/>
              <w:bottom w:w="100" w:type="dxa"/>
              <w:left w:w="150" w:type="dxa"/>
              <w:right w:w="150" w:type="dxa"/>
            </w:tcMar>
          </w:tcPr>
          <w:p>
            <w:r>
              <w:t>SEC-04</w:t>
            </w:r>
          </w:p>
        </w:tc>
        <w:tc>
          <w:tcPr>
            <w:tcW w:type="dxa" w:w="2160"/>
            <w:tcMar>
              <w:top w:w="100" w:type="dxa"/>
              <w:bottom w:w="100" w:type="dxa"/>
              <w:left w:w="150" w:type="dxa"/>
              <w:right w:w="150" w:type="dxa"/>
            </w:tcMar>
          </w:tcPr>
          <w:p>
            <w:r>
              <w:t>Laag</w:t>
            </w:r>
          </w:p>
        </w:tc>
        <w:tc>
          <w:tcPr>
            <w:tcW w:type="dxa" w:w="2160"/>
            <w:tcMar>
              <w:top w:w="100" w:type="dxa"/>
              <w:bottom w:w="100" w:type="dxa"/>
              <w:left w:w="150" w:type="dxa"/>
              <w:right w:w="150" w:type="dxa"/>
            </w:tcMar>
          </w:tcPr>
          <w:p>
            <w:r>
              <w:t>Ontbrekende CSRF Secure Cookie Attributes</w:t>
            </w:r>
          </w:p>
        </w:tc>
        <w:tc>
          <w:tcPr>
            <w:tcW w:type="dxa" w:w="2160"/>
            <w:shd w:fill="D4EDDA"/>
            <w:tcMar>
              <w:top w:w="100" w:type="dxa"/>
              <w:bottom w:w="100" w:type="dxa"/>
              <w:left w:w="150" w:type="dxa"/>
              <w:right w:w="150" w:type="dxa"/>
            </w:tcMar>
          </w:tcPr>
          <w:p>
            <w:r>
              <w:rPr>
                <w:b/>
                <w:color w:val="155724"/>
              </w:rPr>
              <w:t>OPGELOST</w:t>
            </w:r>
          </w:p>
        </w:tc>
      </w:tr>
    </w:tbl>
    <w:p>
      <w:pPr>
        <w:spacing w:before="240"/>
      </w:pPr>
    </w:p>
    <w:p>
      <w:pPr>
        <w:pStyle w:val="Heading1"/>
      </w:pPr>
      <w:r>
        <w:rPr>
          <w:color w:val="1B365D"/>
        </w:rPr>
        <w:t>3. Gedetailleerde Evaluatie van Oplossingen</w:t>
      </w:r>
    </w:p>
    <w:p>
      <w:pPr>
        <w:pStyle w:val="Heading2"/>
      </w:pPr>
      <w:r>
        <w:rPr>
          <w:color w:val="2E6F40"/>
        </w:rPr>
        <w:t>SEC-01: Cross-Tenant Data Verwijdering via Audit Log Opschonen (OPGELOST)</w:t>
      </w:r>
    </w:p>
    <w:p>
      <w:r>
        <w:t>• Probleemstelling: De route '/audit-log/opschonen' was beveiligd met '@admin_required', waardoor elke organisatiebeheerder (bijv. beheerder van één specifieke gemeente) logs ouder dan 365 dagen kon wissen. De delete-query bevatte echter geen tenant-filter, waardoor logs van alle organisaties in de database gelijktijdig gewist werden.</w:t>
        <w:br/>
        <w:t>• Oplossing: De decorator is aangepast naar '@platform_admin_required'. Alleen globale platformbeheerders hebben nu toegang tot deze opschoonactie. Hiermee is de multi-tenancy isolatie tijdens het opschonen hersteld.</w:t>
      </w:r>
    </w:p>
    <w:p>
      <w:pPr>
        <w:pStyle w:val="Heading2"/>
      </w:pPr>
      <w:r>
        <w:rPr>
          <w:color w:val="2E6F40"/>
        </w:rPr>
        <w:t>SEC-02: Stored Cross-Site Scripting (XSS) via Document Preview (OPGELOST)</w:t>
      </w:r>
    </w:p>
    <w:p>
      <w:r>
        <w:t>• Probleemstelling: Bestanden werden via '/documenten/&lt;doc_id&gt;/bekijken' inline in de browser gerenderd (as_attachment=False). Als een malafide gebruiker een HTML- of SVG-bestand met JavaScript uploadde, werd dit in de browser van andere gebruikers uitgevoerd binnen het domein van de applicatie.</w:t>
        <w:br/>
        <w:t>• Oplossing: Er is een whitelist geïntroduceerd voor inline weergave. Alleen 'image/png', 'image/jpeg', 'image/gif' en 'application/pdf' worden inline geopend. Alle overige MIME-types worden geforceerd als download (as_attachment=True). Bovendien is een strikte Content-Security-Policy (CSP) toegevoegd aan de inline responses: 'default-src \'none\'; sandbox;'.</w:t>
      </w:r>
    </w:p>
    <w:p>
      <w:pPr>
        <w:pStyle w:val="Heading2"/>
      </w:pPr>
      <w:r>
        <w:rPr>
          <w:color w:val="2E6F40"/>
        </w:rPr>
        <w:t>SEC-03: Onveilige Random Code Generatie &amp; Ontbrekende Lockout (OPGELOST)</w:t>
      </w:r>
    </w:p>
    <w:p>
      <w:r>
        <w:t>• Probleemstelling: Wachtwoordherstelcodes werden gegenereerd via de onveilige 'random' module van Python en waren theoretisch voorspelbaar. Daarnaast kon een aanvaller codes brute-forcen binnen de geldigheidstermijn van 30 minuten omdat mislukte pogingen niet werden bijgehouden.</w:t>
        <w:br/>
        <w:t>• Oplossing: De generatie maakt nu gebruik van de cryptografisch veilige 'secrets' module. Tevens is er een kolom 'reset_pogingen' toegevoegd aan het User-model. Na 5 opeenvolgende mislukte pogingen wordt de code in de database ongeldig gemaakt, de sessie gewist en wordt de gebruiker geblokkeerd voor verdere pogingen tot er een nieuwe code is aangevraagd.</w:t>
      </w:r>
    </w:p>
    <w:p>
      <w:pPr>
        <w:pStyle w:val="Heading2"/>
      </w:pPr>
      <w:r>
        <w:rPr>
          <w:color w:val="2E6F40"/>
        </w:rPr>
        <w:t>SEC-04: Ontbrekende CSRF Secure Cookie Attributes (OPGELOST)</w:t>
      </w:r>
    </w:p>
    <w:p>
      <w:r>
        <w:t>• Probleemstelling: Hoewel Flask-Session cookies beveiligd waren, waren de CSRF-cookies in productie niet expliciet beveiligd met SSL-strict en HTTPOnly vlaggen.</w:t>
        <w:br/>
        <w:t>• Oplossing: In de Config-klasse zijn de volgende parameters toegevoegd en gekoppeld aan de productie-status:</w:t>
        <w:br/>
        <w:t xml:space="preserve">  - WTF_CSRF_SSL_STRICT = _IS_PRODUCTION</w:t>
        <w:br/>
        <w:t xml:space="preserve">  - WTF_CSRF_COOKIE_SECURE = _IS_PRODUCTION</w:t>
        <w:br/>
        <w:t xml:space="preserve">  - WTF_CSRF_COOKIE_HTTPONLY = True</w:t>
      </w:r>
    </w:p>
    <w:p>
      <w:pPr>
        <w:pStyle w:val="Heading1"/>
      </w:pPr>
      <w:r>
        <w:rPr>
          <w:color w:val="1B365D"/>
        </w:rPr>
        <w:t>4. Evaluatie van Best-practices</w:t>
      </w:r>
    </w:p>
    <w:p>
      <w:r>
        <w:t>Tijdens de audit is de codebase tevens getoetst op andere bekende beveiligingsrisico's:</w:t>
        <w:br/>
        <w:t>1. SQL Injection: Alle queries verlopen via SQLAlchemy ORM (geparameteriseerd). Er is geen risico op SQL-injecties gedetecteerd.</w:t>
        <w:br/>
        <w:t>2. Rate Limiting: Kritieke endpoints (zoals /login en /wachtwoord-vergeten) zijn beveiligd met Flask-Limiter om brute-force aanvallen te vertragen of blokkeren.</w:t>
        <w:br/>
        <w:t>3. Test Isolatie: De unit tests zijn nu volledig geïsoleerd van de lokale ontwikkeldatabase door het gebruik van een in-memory SQLite database ('sqlite:///:memory:') via 'TestConfig' in 'tests/base.py'. Dit voorkomt dat lokale data per ongeluk gewist wordt tijdens test runs.</w:t>
      </w:r>
    </w:p>
    <w:p>
      <w:pPr>
        <w:pStyle w:val="Heading1"/>
      </w:pPr>
      <w:r>
        <w:rPr>
          <w:color w:val="1B365D"/>
        </w:rPr>
        <w:t>5. Conclusie</w:t>
      </w:r>
    </w:p>
    <w:p>
      <w:r>
        <w:t>Het Digidokters platform voldoet na de doorgevoerde wijzigingen aan de moderne standaarden van webbeveiliging. Alle eerdere bevindingen met een hoog of medium risico zijn succesvol verholpen. De data-isolatie tussen verschillende tenants (organisaties) is gegarandeerd en misbruik van wachtwoordherstel en document preview functionaliteiten is gemitigeerd.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