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D4ED8"/>
          <w:sz w:val="52"/>
        </w:rPr>
        <w:t>Digidokters Platform — Release Notes</w:t>
      </w:r>
    </w:p>
    <w:p>
      <w:pPr>
        <w:spacing w:after="360"/>
      </w:pPr>
      <w:r>
        <w:rPr>
          <w:rFonts w:ascii="Calibri" w:hAnsi="Calibri"/>
          <w:i/>
          <w:color w:val="475569"/>
          <w:sz w:val="28"/>
        </w:rPr>
        <w:t>Overzicht van functionele uitbreidingen en vernieuwingen (Release 2.7.0)</w:t>
      </w:r>
    </w:p>
    <w:p>
      <w:pPr>
        <w:spacing w:after="360"/>
      </w:pPr>
      <w:r>
        <w:rPr>
          <w:color w:val="475569"/>
          <w:sz w:val="19"/>
        </w:rPr>
        <w:t>Datum: Oktober 2026   |   Versie: Release 2.7.0 (Dynamisch Autorisatieschema, Permissiematrix &amp; Groepsbeheer)   |   Auteur: Digidokters Projectteam</w:t>
      </w:r>
    </w:p>
    <w:p>
      <w:pPr>
        <w:spacing w:after="280"/>
      </w:pPr>
      <w:r>
        <w:t>Dit document biedt een integraal functioneel overzicht van alle recente uitbreidingen, vernieuwingen en gebruikersverbeteringen in het Digidokters Platform. Release 2.7.0 introduceert een volledig configureerbaar dynamisch autorisatieschema per organisatie met een fijnmazige permissiematrix per module, meervoudig groepslidmaatschap met 'hoogste recht wint' conflictresolutie, de speciale Digidokter-restrictie 'Alleen eigen registraties tonen', en een geoptimaliseerde inlog- en activeringsprocedure voor nieuwe gebruikers.</w:t>
      </w:r>
    </w:p>
    <w:p>
      <w:pPr>
        <w:spacing w:before="320" w:after="120"/>
      </w:pPr>
      <w:r>
        <w:rPr>
          <w:rFonts w:ascii="Calibri" w:hAnsi="Calibri"/>
          <w:b/>
          <w:color w:val="1D4ED8"/>
          <w:sz w:val="32"/>
        </w:rPr>
        <w:t>1. Dynamisch Autorisatieschema &amp; Permissiematrix per Organisatie</w:t>
      </w:r>
    </w:p>
    <w:p>
      <w:r>
        <w:t>Organisaties en gemeenten kunnen nu hun eigen rollen en groepen samenstellen om nauwkeurig aan te sluiten bij hun lokale werking:</w:t>
      </w:r>
    </w:p>
    <w:p>
      <w:pPr>
        <w:pStyle w:val="ListBullet"/>
        <w:spacing w:after="60"/>
      </w:pPr>
      <w:r>
        <w:rPr>
          <w:b/>
        </w:rPr>
        <w:t xml:space="preserve">Groepenbeheer: </w:t>
      </w:r>
      <w:r>
        <w:t>Onder 'Beheer &gt; Groepen' kunnen beheerders zelf groepen toevoegen, aanpassen, activeren of deactiveren.</w:t>
      </w:r>
    </w:p>
    <w:p>
      <w:pPr>
        <w:pStyle w:val="ListBullet"/>
        <w:spacing w:after="60"/>
      </w:pPr>
      <w:r>
        <w:rPr>
          <w:b/>
        </w:rPr>
        <w:t xml:space="preserve">Fijnmazige Permissiematrix: </w:t>
      </w:r>
      <w:r>
        <w:t>Voor elke groep kan per module (Registraties, Agenda, Evaluaties, Documenten, Statistieken, Export, Feedback, Stamgegevens, Gebruikers, Groepen, Backups, Auditlogs, App documentatie) het niveau 'Geen toegang', 'Alleen lezen' of 'Lezen en schrijven' worden geconfigureerd.</w:t>
      </w:r>
    </w:p>
    <w:p>
      <w:pPr>
        <w:pStyle w:val="ListBullet"/>
        <w:spacing w:after="60"/>
      </w:pPr>
      <w:r>
        <w:rPr>
          <w:b/>
        </w:rPr>
        <w:t xml:space="preserve">Handige Presets: </w:t>
      </w:r>
      <w:r>
        <w:t>Met één klik op 'Stel in als Lezer', 'Stel in als Medewerker' of 'Stel in als Beheerder' wordt de matrix direct volgens best practice ingevuld.</w:t>
      </w:r>
    </w:p>
    <w:p>
      <w:pPr>
        <w:pStyle w:val="ListBullet"/>
        <w:spacing w:after="60"/>
      </w:pPr>
      <w:r>
        <w:rPr>
          <w:b/>
        </w:rPr>
        <w:t xml:space="preserve">Meervoudig Groepslidmaatschap: </w:t>
      </w:r>
      <w:r>
        <w:t>Gebruikers kunnen aan meerdere groepen worden gekoppeld. Het systeem past per module het meest ruime recht toe ('hoogste recht wint').</w:t>
      </w:r>
    </w:p>
    <w:p>
      <w:pPr>
        <w:pStyle w:val="ListBullet"/>
        <w:spacing w:after="60"/>
      </w:pPr>
      <w:r>
        <w:rPr>
          <w:b/>
        </w:rPr>
        <w:t xml:space="preserve">Beschermde Standaardgroepen: </w:t>
      </w:r>
      <w:r>
        <w:t>De vier basisgroepen (Lezers, Medewerkers, Beheerders, Platformbeheerders) blijven beschermd tegen verwijdering en worden automatisch geseed via de Sjabloon-organisatie.</w:t>
      </w:r>
    </w:p>
    <w:p>
      <w:pPr>
        <w:spacing w:before="320" w:after="120"/>
      </w:pPr>
      <w:r>
        <w:rPr>
          <w:rFonts w:ascii="Calibri" w:hAnsi="Calibri"/>
          <w:b/>
          <w:color w:val="1D4ED8"/>
          <w:sz w:val="32"/>
        </w:rPr>
        <w:t>2. Speciale Digidokter-Restrictie ('Alleen eigen registraties tonen')</w:t>
      </w:r>
    </w:p>
    <w:p>
      <w:pPr>
        <w:pStyle w:val="ListBullet"/>
        <w:spacing w:after="60"/>
      </w:pPr>
      <w:r>
        <w:rPr>
          <w:b/>
        </w:rPr>
        <w:t xml:space="preserve">Automatische Filterverberging: </w:t>
      </w:r>
      <w:r>
        <w:t>Voor groepen waarin deze optie is ingeschakeld, wordt het filterveld voor digidokters in het registratieoverzicht verborgen.</w:t>
      </w:r>
    </w:p>
    <w:p>
      <w:pPr>
        <w:pStyle w:val="ListBullet"/>
        <w:spacing w:after="60"/>
      </w:pPr>
      <w:r>
        <w:rPr>
          <w:b/>
        </w:rPr>
        <w:t xml:space="preserve">Strikte Gegevensafscherming: </w:t>
      </w:r>
      <w:r>
        <w:t>De consultatielijst toont uitsluitend de registraties die gekoppeld zijn aan het eigen Digidokter-profiel van de ingelogde gebruiker.</w:t>
      </w:r>
    </w:p>
    <w:p>
      <w:pPr>
        <w:spacing w:before="320" w:after="120"/>
      </w:pPr>
      <w:r>
        <w:rPr>
          <w:rFonts w:ascii="Calibri" w:hAnsi="Calibri"/>
          <w:b/>
          <w:color w:val="1D4ED8"/>
          <w:sz w:val="32"/>
        </w:rPr>
        <w:t>3. Geoptimaliseerde Eerste Login &amp; Wachtwoordwissel</w:t>
      </w:r>
    </w:p>
    <w:p>
      <w:pPr>
        <w:pStyle w:val="ListBullet"/>
        <w:spacing w:after="60"/>
      </w:pPr>
      <w:r>
        <w:rPr>
          <w:b/>
        </w:rPr>
        <w:t xml:space="preserve">Naadloze Organisatiekoppeling: </w:t>
      </w:r>
      <w:r>
        <w:t>Wanneer een nieuwe gebruiker inlogt met een tijdelijk wachtwoord en moet wisselen van wachtwoord, blijft de organisatiecontext behouden zodat er nooit een foutmelding over een inactieve organisatie optreedt.</w:t>
      </w:r>
    </w:p>
    <w:p>
      <w:pPr>
        <w:spacing w:before="320" w:after="120"/>
      </w:pPr>
      <w:r>
        <w:rPr>
          <w:rFonts w:ascii="Calibri" w:hAnsi="Calibri"/>
          <w:b/>
          <w:color w:val="1D4ED8"/>
          <w:sz w:val="32"/>
        </w:rPr>
        <w:t>4. In-App Evaluatieformulieren &amp; Notificaties</w:t>
      </w:r>
    </w:p>
    <w:p>
      <w:pPr>
        <w:pStyle w:val="ListBullet"/>
        <w:spacing w:after="60"/>
      </w:pPr>
      <w:r>
        <w:rPr>
          <w:b/>
        </w:rPr>
        <w:t xml:space="preserve">Attentiebanner &amp; Actieknop in Agenda: </w:t>
      </w:r>
      <w:r>
        <w:t>Bovenaan de Agenda verschijnt een waarschuwingsbanner met het aantal openstaande evaluaties en directe actieknoppen.</w:t>
      </w:r>
    </w:p>
    <w:p>
      <w:pPr>
        <w:pStyle w:val="ListBullet"/>
        <w:spacing w:after="60"/>
      </w:pPr>
      <w:r>
        <w:rPr>
          <w:b/>
        </w:rPr>
        <w:t xml:space="preserve">Menu-notificatiebadge: </w:t>
      </w:r>
      <w:r>
        <w:t>Een oranje teller naast 'Evaluaties' toont realtime het aantal nog in te vullen formulieren.</w:t>
      </w:r>
    </w:p>
    <w:p>
      <w:pPr>
        <w:pStyle w:val="ListBullet"/>
        <w:spacing w:after="60"/>
      </w:pPr>
      <w:r>
        <w:rPr>
          <w:b/>
        </w:rPr>
        <w:t xml:space="preserve">Snelfilter 'Enkel mijn openstaande evaluaties': </w:t>
      </w:r>
      <w:r>
        <w:t>Met één klik filteren op sessies die op feedback wachten.</w:t>
      </w:r>
    </w:p>
    <w:p>
      <w:pPr>
        <w:spacing w:before="320" w:after="120"/>
      </w:pPr>
      <w:r>
        <w:rPr>
          <w:rFonts w:ascii="Calibri" w:hAnsi="Calibri"/>
          <w:b/>
          <w:color w:val="1D4ED8"/>
          <w:sz w:val="32"/>
        </w:rPr>
        <w:t>5. Geoptimaliseerd Balie-Registratieformulier ('Nieuw bezoek')</w:t>
      </w:r>
    </w:p>
    <w:p>
      <w:pPr>
        <w:pStyle w:val="ListBullet"/>
        <w:spacing w:after="60"/>
      </w:pPr>
      <w:r>
        <w:rPr>
          <w:b/>
        </w:rPr>
        <w:t xml:space="preserve">Sticky Sessie-Context: </w:t>
      </w:r>
      <w:r>
        <w:t>Datum, actieve Digidokter en consultatielocatie blijven bewaard gedurende het inloopmoment.</w:t>
      </w:r>
    </w:p>
    <w:p>
      <w:pPr>
        <w:pStyle w:val="ListBullet"/>
        <w:spacing w:after="60"/>
      </w:pPr>
      <w:r>
        <w:rPr>
          <w:b/>
        </w:rPr>
        <w:t xml:space="preserve">Touch-Chips &amp; Onderwerp-Tags: </w:t>
      </w:r>
      <w:r>
        <w:t>Grote knoppen en snelle tag-knoppen (itsme, WhatsApp, E-mail, Smartschool, Wifi).</w:t>
      </w:r>
    </w:p>
    <w:p>
      <w:pPr>
        <w:pStyle w:val="ListBullet"/>
        <w:spacing w:after="60"/>
      </w:pPr>
      <w:r>
        <w:rPr>
          <w:b/>
        </w:rPr>
        <w:t xml:space="preserve">Asynchrone AI-Vraaganalyse: </w:t>
      </w:r>
      <w:r>
        <w:t>Automatische categorietoewijzing via Gemini AI op de achtergrond zonder browser-blokkering.</w:t>
      </w:r>
    </w:p>
    <w:p>
      <w:pPr>
        <w:spacing w:before="320" w:after="120"/>
      </w:pPr>
      <w:r>
        <w:rPr>
          <w:rFonts w:ascii="Calibri" w:hAnsi="Calibri"/>
          <w:b/>
          <w:color w:val="1D4ED8"/>
          <w:sz w:val="32"/>
        </w:rPr>
        <w:t>6. Samenvatting: Impact per Gebruikersrol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tcPr>
          <w:p>
            <w:pPr>
              <w:spacing w:after="40" w:before="40"/>
            </w:pPr>
            <w:r>
              <w:rPr>
                <w:b/>
              </w:rPr>
              <w:t>Gebruikersrol / Groep</w:t>
            </w:r>
          </w:p>
        </w:tc>
        <w:tc>
          <w:tcPr>
            <w:tcW w:type="dxa" w:w="3120"/>
            <w:shd w:fill="E2E8F0"/>
          </w:tcPr>
          <w:p>
            <w:pPr>
              <w:spacing w:after="40" w:before="40"/>
            </w:pPr>
            <w:r>
              <w:rPr>
                <w:b/>
              </w:rPr>
              <w:t>Wat is er nieuw / gewijzigd?</w:t>
            </w:r>
          </w:p>
        </w:tc>
        <w:tc>
          <w:tcPr>
            <w:tcW w:type="dxa" w:w="3120"/>
            <w:shd w:fill="E2E8F0"/>
          </w:tcPr>
          <w:p>
            <w:pPr>
              <w:spacing w:after="40" w:before="40"/>
            </w:pPr>
            <w:r>
              <w:rPr>
                <w:b/>
              </w:rPr>
              <w:t>Voordeel in de praktijk</w:t>
            </w:r>
          </w:p>
        </w:tc>
      </w:tr>
      <w:tr>
        <w:tc>
          <w:tcPr>
            <w:tcW w:type="dxa" w:w="3120"/>
          </w:tcPr>
          <w:p>
            <w:pPr>
              <w:spacing w:after="40" w:before="40"/>
            </w:pPr>
            <w:r>
              <w:rPr>
                <w:b/>
              </w:rPr>
              <w:t>Medewerker / Digidokter</w:t>
            </w:r>
          </w:p>
        </w:tc>
        <w:tc>
          <w:tcPr>
            <w:tcW w:type="dxa" w:w="3120"/>
          </w:tcPr>
          <w:p>
            <w:pPr>
              <w:spacing w:after="40" w:before="40"/>
            </w:pPr>
            <w:r>
              <w:t>• Optioneel enkel eigen registraties inzien (geen storende filter).</w:t>
              <w:br/>
              <w:t>• Evaluaties direct via de app afronden met attentiebanner en badges.</w:t>
              <w:br/>
              <w:t>• Nieuw balieformulier en zelf functies/telefoonnummer beheren.</w:t>
            </w:r>
          </w:p>
        </w:tc>
        <w:tc>
          <w:tcPr>
            <w:tcW w:type="dxa" w:w="3120"/>
          </w:tcPr>
          <w:p>
            <w:pPr>
              <w:spacing w:after="40" w:before="40"/>
            </w:pPr>
            <w:r>
              <w:t>Duidelijke focus op de eigen consultaties, minder klikwerk en optimale touchscreen-ervaring.</w:t>
            </w:r>
          </w:p>
        </w:tc>
      </w:tr>
      <w:tr>
        <w:tc>
          <w:tcPr>
            <w:tcW w:type="dxa" w:w="3120"/>
          </w:tcPr>
          <w:p>
            <w:pPr>
              <w:spacing w:after="40" w:before="40"/>
            </w:pPr>
            <w:r>
              <w:rPr>
                <w:b/>
              </w:rPr>
              <w:t>Beheerder (Gemeente)</w:t>
            </w:r>
          </w:p>
        </w:tc>
        <w:tc>
          <w:tcPr>
            <w:tcW w:type="dxa" w:w="3120"/>
          </w:tcPr>
          <w:p>
            <w:pPr>
              <w:spacing w:after="40" w:before="40"/>
            </w:pPr>
            <w:r>
              <w:t>• Volledig beheer van autorisatiegroepen en permissiematrix per module.</w:t>
              <w:br/>
              <w:t>• Toewijzen van gebruikers aan meerdere groepen tegelijk.</w:t>
              <w:br/>
              <w:t>• Eenvoudige activatie van nieuwe medewerkers zonder koppelingsfouten.</w:t>
            </w:r>
          </w:p>
        </w:tc>
        <w:tc>
          <w:tcPr>
            <w:tcW w:type="dxa" w:w="3120"/>
          </w:tcPr>
          <w:p>
            <w:pPr>
              <w:spacing w:after="40" w:before="40"/>
            </w:pPr>
            <w:r>
              <w:t>Volledige flexibiliteit om rollen exact af te stemmen op de lokale organisatie-eisen.</w:t>
            </w:r>
          </w:p>
        </w:tc>
      </w:tr>
      <w:tr>
        <w:tc>
          <w:tcPr>
            <w:tcW w:type="dxa" w:w="3120"/>
          </w:tcPr>
          <w:p>
            <w:pPr>
              <w:spacing w:after="40" w:before="40"/>
            </w:pPr>
            <w:r>
              <w:rPr>
                <w:b/>
              </w:rPr>
              <w:t>Platformbeheerder</w:t>
            </w:r>
          </w:p>
        </w:tc>
        <w:tc>
          <w:tcPr>
            <w:tcW w:type="dxa" w:w="3120"/>
          </w:tcPr>
          <w:p>
            <w:pPr>
              <w:spacing w:after="40" w:before="40"/>
            </w:pPr>
            <w:r>
              <w:t>• Automatische overname van standaardgroepen via Sjabloon bij nieuwe gemeenten.</w:t>
              <w:br/>
              <w:t>• Monitoring van AI-classificaties en centrale app-documentatie.</w:t>
            </w:r>
          </w:p>
        </w:tc>
        <w:tc>
          <w:tcPr>
            <w:tcW w:type="dxa" w:w="3120"/>
          </w:tcPr>
          <w:p>
            <w:pPr>
              <w:spacing w:after="40" w:before="40"/>
            </w:pPr>
            <w:r>
              <w:t>Gegarandeerde uniformiteit bij uitrol naar nieuwe besturen met behoud van lokale flexibiliteit.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