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b/>
          <w:color w:val="1E3A8A"/>
          <w:sz w:val="56"/>
        </w:rPr>
        <w:t>DIGIDOKTERS</w:t>
        <w:br/>
      </w:r>
      <w:r>
        <w:rPr>
          <w:b/>
          <w:color w:val="2563EB"/>
          <w:sz w:val="32"/>
        </w:rPr>
        <w:t>Technische Beveiligingsaudit &amp; Kwetsbaarheidsbeoordeling</w:t>
        <w:br/>
      </w:r>
      <w:r>
        <w:rPr>
          <w:color w:val="64748B"/>
          <w:sz w:val="24"/>
        </w:rPr>
        <w:t>Herhaalde Security Audit na Recente Uitbreidingen</w:t>
        <w:br/>
        <w:t>(Document Viewer, GFS Sync, Schema Switching, RBAC &amp; CI/CD)</w:t>
      </w:r>
    </w:p>
    <w:p>
      <w:pPr>
        <w:spacing w:after="480"/>
      </w:pP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4703"/>
        <w:gridCol w:w="4703"/>
      </w:tblGrid>
      <w:tr>
        <w:tc>
          <w:tcPr>
            <w:tcW w:type="dxa" w:w="3118"/>
            <w:shd w:fill="1E3A8A"/>
            <w:tcMar>
              <w:top w:w="160" w:type="dxa"/>
              <w:bottom w:w="160" w:type="dxa"/>
              <w:left w:w="180" w:type="dxa"/>
              <w:right w:w="180" w:type="dxa"/>
            </w:tcMar>
          </w:tcPr>
          <w:p>
            <w:pPr>
              <w:jc w:val="left"/>
            </w:pPr>
            <w:r>
              <w:rPr>
                <w:b/>
                <w:color w:val="FFFFFF"/>
                <w:sz w:val="19"/>
              </w:rPr>
              <w:t>Metadata Eigenschap</w:t>
            </w:r>
          </w:p>
        </w:tc>
        <w:tc>
          <w:tcPr>
            <w:tcW w:type="dxa" w:w="6236"/>
            <w:shd w:fill="1E3A8A"/>
            <w:tcMar>
              <w:top w:w="160" w:type="dxa"/>
              <w:bottom w:w="160" w:type="dxa"/>
              <w:left w:w="180" w:type="dxa"/>
              <w:right w:w="180" w:type="dxa"/>
            </w:tcMar>
          </w:tcPr>
          <w:p>
            <w:pPr>
              <w:jc w:val="left"/>
            </w:pPr>
            <w:r>
              <w:rPr>
                <w:b/>
                <w:color w:val="FFFFFF"/>
                <w:sz w:val="19"/>
              </w:rPr>
              <w:t>Specificatie</w:t>
            </w:r>
          </w:p>
        </w:tc>
      </w:tr>
      <w:tr>
        <w:tc>
          <w:tcPr>
            <w:tcW w:type="dxa" w:w="3118"/>
            <w:shd w:fill="FFFFFF"/>
            <w:tcMar>
              <w:top w:w="120" w:type="dxa"/>
              <w:bottom w:w="120" w:type="dxa"/>
              <w:left w:w="160" w:type="dxa"/>
              <w:right w:w="160" w:type="dxa"/>
            </w:tcMar>
          </w:tcPr>
          <w:p>
            <w:r>
              <w:rPr>
                <w:color w:val="0F172A"/>
                <w:sz w:val="18"/>
              </w:rPr>
              <w:t>Applicatienaam</w:t>
            </w:r>
          </w:p>
        </w:tc>
        <w:tc>
          <w:tcPr>
            <w:tcW w:type="dxa" w:w="6236"/>
            <w:shd w:fill="FFFFFF"/>
            <w:tcMar>
              <w:top w:w="120" w:type="dxa"/>
              <w:bottom w:w="120" w:type="dxa"/>
              <w:left w:w="160" w:type="dxa"/>
              <w:right w:w="160" w:type="dxa"/>
            </w:tcMar>
          </w:tcPr>
          <w:p>
            <w:r>
              <w:rPr>
                <w:color w:val="0F172A"/>
                <w:sz w:val="18"/>
              </w:rPr>
              <w:t>Digidokters Platform (Flask / SQLAlchemy / PostgreSQL / SQLite)</w:t>
            </w:r>
          </w:p>
        </w:tc>
      </w:tr>
      <w:tr>
        <w:tc>
          <w:tcPr>
            <w:tcW w:type="dxa" w:w="3118"/>
            <w:shd w:fill="F1F5F9"/>
            <w:tcMar>
              <w:top w:w="120" w:type="dxa"/>
              <w:bottom w:w="120" w:type="dxa"/>
              <w:left w:w="160" w:type="dxa"/>
              <w:right w:w="160" w:type="dxa"/>
            </w:tcMar>
          </w:tcPr>
          <w:p>
            <w:r>
              <w:rPr>
                <w:color w:val="0F172A"/>
                <w:sz w:val="18"/>
              </w:rPr>
              <w:t>Auditdatum</w:t>
            </w:r>
          </w:p>
        </w:tc>
        <w:tc>
          <w:tcPr>
            <w:tcW w:type="dxa" w:w="6236"/>
            <w:shd w:fill="F1F5F9"/>
            <w:tcMar>
              <w:top w:w="120" w:type="dxa"/>
              <w:bottom w:w="120" w:type="dxa"/>
              <w:left w:w="160" w:type="dxa"/>
              <w:right w:w="160" w:type="dxa"/>
            </w:tcMar>
          </w:tcPr>
          <w:p>
            <w:r>
              <w:rPr>
                <w:color w:val="0F172A"/>
                <w:sz w:val="18"/>
              </w:rPr>
              <w:t>5 oktober 2026</w:t>
            </w:r>
          </w:p>
        </w:tc>
      </w:tr>
      <w:tr>
        <w:tc>
          <w:tcPr>
            <w:tcW w:type="dxa" w:w="3118"/>
            <w:shd w:fill="FFFFFF"/>
            <w:tcMar>
              <w:top w:w="120" w:type="dxa"/>
              <w:bottom w:w="120" w:type="dxa"/>
              <w:left w:w="160" w:type="dxa"/>
              <w:right w:w="160" w:type="dxa"/>
            </w:tcMar>
          </w:tcPr>
          <w:p>
            <w:r>
              <w:rPr>
                <w:color w:val="0F172A"/>
                <w:sz w:val="18"/>
              </w:rPr>
              <w:t>Versie Rapport</w:t>
            </w:r>
          </w:p>
        </w:tc>
        <w:tc>
          <w:tcPr>
            <w:tcW w:type="dxa" w:w="6236"/>
            <w:shd w:fill="FFFFFF"/>
            <w:tcMar>
              <w:top w:w="120" w:type="dxa"/>
              <w:bottom w:w="120" w:type="dxa"/>
              <w:left w:w="160" w:type="dxa"/>
              <w:right w:w="160" w:type="dxa"/>
            </w:tcMar>
          </w:tcPr>
          <w:p>
            <w:r>
              <w:rPr>
                <w:color w:val="0F172A"/>
                <w:sz w:val="18"/>
              </w:rPr>
              <w:t>Versie 2.0 (Herhaalde audit na september 2026)</w:t>
            </w:r>
          </w:p>
        </w:tc>
      </w:tr>
      <w:tr>
        <w:tc>
          <w:tcPr>
            <w:tcW w:type="dxa" w:w="3118"/>
            <w:shd w:fill="F1F5F9"/>
            <w:tcMar>
              <w:top w:w="120" w:type="dxa"/>
              <w:bottom w:w="120" w:type="dxa"/>
              <w:left w:w="160" w:type="dxa"/>
              <w:right w:w="160" w:type="dxa"/>
            </w:tcMar>
          </w:tcPr>
          <w:p>
            <w:r>
              <w:rPr>
                <w:color w:val="0F172A"/>
                <w:sz w:val="18"/>
              </w:rPr>
              <w:t>Type Audit</w:t>
            </w:r>
          </w:p>
        </w:tc>
        <w:tc>
          <w:tcPr>
            <w:tcW w:type="dxa" w:w="6236"/>
            <w:shd w:fill="F1F5F9"/>
            <w:tcMar>
              <w:top w:w="120" w:type="dxa"/>
              <w:bottom w:w="120" w:type="dxa"/>
              <w:left w:w="160" w:type="dxa"/>
              <w:right w:w="160" w:type="dxa"/>
            </w:tcMar>
          </w:tcPr>
          <w:p>
            <w:r>
              <w:rPr>
                <w:color w:val="0F172A"/>
                <w:sz w:val="18"/>
              </w:rPr>
              <w:t>Full-Scope Source Code Security Review &amp; Defensive Threat Modeling</w:t>
            </w:r>
          </w:p>
        </w:tc>
      </w:tr>
      <w:tr>
        <w:tc>
          <w:tcPr>
            <w:tcW w:type="dxa" w:w="3118"/>
            <w:shd w:fill="FFFFFF"/>
            <w:tcMar>
              <w:top w:w="120" w:type="dxa"/>
              <w:bottom w:w="120" w:type="dxa"/>
              <w:left w:w="160" w:type="dxa"/>
              <w:right w:w="160" w:type="dxa"/>
            </w:tcMar>
          </w:tcPr>
          <w:p>
            <w:r>
              <w:rPr>
                <w:color w:val="0F172A"/>
                <w:sz w:val="18"/>
              </w:rPr>
              <w:t>Scope van Onderzoek</w:t>
            </w:r>
          </w:p>
        </w:tc>
        <w:tc>
          <w:tcPr>
            <w:tcW w:type="dxa" w:w="6236"/>
            <w:shd w:fill="FFFFFF"/>
            <w:tcMar>
              <w:top w:w="120" w:type="dxa"/>
              <w:bottom w:w="120" w:type="dxa"/>
              <w:left w:w="160" w:type="dxa"/>
              <w:right w:w="160" w:type="dxa"/>
            </w:tcMar>
          </w:tcPr>
          <w:p>
            <w:r>
              <w:rPr>
                <w:color w:val="0F172A"/>
                <w:sz w:val="18"/>
              </w:rPr>
              <w:t>Codebase, In-browser Viewer, Backup &amp; Sync, CI/CD, RBAC, Multi-Tenancy</w:t>
            </w:r>
          </w:p>
        </w:tc>
      </w:tr>
      <w:tr>
        <w:tc>
          <w:tcPr>
            <w:tcW w:type="dxa" w:w="3118"/>
            <w:shd w:fill="F1F5F9"/>
            <w:tcMar>
              <w:top w:w="120" w:type="dxa"/>
              <w:bottom w:w="120" w:type="dxa"/>
              <w:left w:w="160" w:type="dxa"/>
              <w:right w:w="160" w:type="dxa"/>
            </w:tcMar>
          </w:tcPr>
          <w:p>
            <w:r>
              <w:rPr>
                <w:color w:val="0F172A"/>
                <w:sz w:val="18"/>
              </w:rPr>
              <w:t>Geautomatiseerde Testsuite</w:t>
            </w:r>
          </w:p>
        </w:tc>
        <w:tc>
          <w:tcPr>
            <w:tcW w:type="dxa" w:w="6236"/>
            <w:shd w:fill="F1F5F9"/>
            <w:tcMar>
              <w:top w:w="120" w:type="dxa"/>
              <w:bottom w:w="120" w:type="dxa"/>
              <w:left w:w="160" w:type="dxa"/>
              <w:right w:w="160" w:type="dxa"/>
            </w:tcMar>
          </w:tcPr>
          <w:p>
            <w:r>
              <w:rPr>
                <w:color w:val="0F172A"/>
                <w:sz w:val="18"/>
              </w:rPr>
              <w:t>183 unittests uitgevoerd (100% geslaagd, 0 fouten)</w:t>
            </w:r>
          </w:p>
        </w:tc>
      </w:tr>
      <w:tr>
        <w:tc>
          <w:tcPr>
            <w:tcW w:type="dxa" w:w="3118"/>
            <w:shd w:fill="FFFFFF"/>
            <w:tcMar>
              <w:top w:w="120" w:type="dxa"/>
              <w:bottom w:w="120" w:type="dxa"/>
              <w:left w:w="160" w:type="dxa"/>
              <w:right w:w="160" w:type="dxa"/>
            </w:tcMar>
          </w:tcPr>
          <w:p>
            <w:r>
              <w:rPr>
                <w:color w:val="0F172A"/>
                <w:sz w:val="18"/>
              </w:rPr>
              <w:t>Status Beoordeling</w:t>
            </w:r>
          </w:p>
        </w:tc>
        <w:tc>
          <w:tcPr>
            <w:tcW w:type="dxa" w:w="6236"/>
            <w:shd w:fill="FFFFFF"/>
            <w:tcMar>
              <w:top w:w="120" w:type="dxa"/>
              <w:bottom w:w="120" w:type="dxa"/>
              <w:left w:w="160" w:type="dxa"/>
              <w:right w:w="160" w:type="dxa"/>
            </w:tcMar>
          </w:tcPr>
          <w:p>
            <w:r>
              <w:rPr>
                <w:color w:val="0F172A"/>
                <w:sz w:val="18"/>
              </w:rPr>
              <w:t>Gereed voor productie (Definitief)</w:t>
            </w:r>
          </w:p>
        </w:tc>
      </w:tr>
      <w:tr>
        <w:tc>
          <w:tcPr>
            <w:tcW w:type="dxa" w:w="3118"/>
            <w:shd w:fill="F1F5F9"/>
            <w:tcMar>
              <w:top w:w="120" w:type="dxa"/>
              <w:bottom w:w="120" w:type="dxa"/>
              <w:left w:w="160" w:type="dxa"/>
              <w:right w:w="160" w:type="dxa"/>
            </w:tcMar>
          </w:tcPr>
          <w:p>
            <w:r>
              <w:rPr>
                <w:color w:val="0F172A"/>
                <w:sz w:val="18"/>
              </w:rPr>
              <w:t>Classificatie</w:t>
            </w:r>
          </w:p>
        </w:tc>
        <w:tc>
          <w:tcPr>
            <w:tcW w:type="dxa" w:w="6236"/>
            <w:shd w:fill="F1F5F9"/>
            <w:tcMar>
              <w:top w:w="120" w:type="dxa"/>
              <w:bottom w:w="120" w:type="dxa"/>
              <w:left w:w="160" w:type="dxa"/>
              <w:right w:w="160" w:type="dxa"/>
            </w:tcMar>
          </w:tcPr>
          <w:p>
            <w:r>
              <w:rPr>
                <w:color w:val="0F172A"/>
                <w:sz w:val="18"/>
              </w:rPr>
              <w:t>Vertrouwelijk / Intern Beveiligingsdocument</w:t>
            </w:r>
          </w:p>
        </w:tc>
      </w:tr>
    </w:tbl>
    <w:p>
      <w:pPr>
        <w:spacing w:after="120"/>
      </w:pPr>
    </w:p>
    <w:tbl>
      <w:tblPr>
        <w:tblW w:type="auto" w:w="0"/>
        <w:jc w:val="center"/>
        <w:tblLayout w:type="fixed"/>
        <w:tblLook w:firstColumn="1" w:firstRow="1" w:lastColumn="0" w:lastRow="0" w:noHBand="0" w:noVBand="1" w:val="04A0"/>
      </w:tblPr>
      <w:tblGrid>
        <w:gridCol w:w="9406"/>
      </w:tblGrid>
      <w:tr>
        <w:tc>
          <w:tcPr>
            <w:tcW w:type="dxa" w:w="9354"/>
            <w:shd w:fill="F0F7FF"/>
            <w:tcMar>
              <w:top w:w="160" w:type="dxa"/>
              <w:bottom w:w="160" w:type="dxa"/>
              <w:left w:w="220" w:type="dxa"/>
              <w:right w:w="200" w:type="dxa"/>
            </w:tcMar>
            <w:tcBorders>
              <w:top w:val="none"/>
              <w:left w:val="single" w:sz="36" w:space="0" w:color="1E3A8A"/>
              <w:bottom w:val="none"/>
              <w:right w:val="none"/>
            </w:tcBorders>
          </w:tcPr>
          <w:p>
            <w:pPr>
              <w:spacing w:before="40" w:after="80"/>
            </w:pPr>
            <w:r>
              <w:rPr>
                <w:sz w:val="22"/>
              </w:rPr>
              <w:t xml:space="preserve">🛡️ </w:t>
            </w:r>
            <w:r>
              <w:rPr>
                <w:b/>
                <w:color w:val="1E3A8A"/>
                <w:sz w:val="21"/>
              </w:rPr>
              <w:t>Beveiligingsstatus Samengevat</w:t>
            </w:r>
          </w:p>
          <w:p>
            <w:pPr>
              <w:spacing w:before="40" w:after="40" w:line="276" w:lineRule="auto"/>
            </w:pPr>
            <w:r>
              <w:rPr>
                <w:color w:val="0F172A"/>
                <w:sz w:val="19"/>
              </w:rPr>
              <w:t>Het Digidokters platform is tijdens deze herhaalde security audit van 5 oktober 2026 volledig getoetst op basis van de OWASP Top 10, CWE richtlijnen en multi-tenant data-isolatie. Alle eerder geïdentificeerde punten (SEC-01 t/m SEC-09) zijn blijvend effectief afgedekt en alle nieuw toegevoegde modules (SEC-10 t/m SEC-12) voldoen aan strikte sandboxing-, CSP-, autorisatie- en sanitization-eisen.</w:t>
            </w:r>
          </w:p>
        </w:tc>
      </w:tr>
    </w:tbl>
    <w:p>
      <w:pPr>
        <w:spacing w:after="80"/>
      </w:pPr>
    </w:p>
    <w:p>
      <w:r>
        <w:br w:type="page"/>
      </w:r>
    </w:p>
    <w:p>
      <w:pPr>
        <w:keepNext/>
        <w:spacing w:before="360" w:after="160"/>
      </w:pPr>
      <w:r>
        <w:rPr>
          <w:b/>
          <w:color w:val="1E3A8A"/>
          <w:sz w:val="32"/>
        </w:rPr>
        <w:t>1. Management Samenvatting (Executive Summary)</w:t>
      </w:r>
    </w:p>
    <w:p>
      <w:pPr>
        <w:spacing w:before="0" w:after="120" w:line="276" w:lineRule="auto"/>
      </w:pPr>
      <w:r>
        <w:rPr>
          <w:i w:val="0"/>
          <w:color w:val="0F172A"/>
          <w:sz w:val="20"/>
        </w:rPr>
        <w:t>In de periode tussen eind september 2026 en begin oktober 2026 is het Digidokters platform uitgebreid met een aanzienlijke set nieuwe functionaliteiten en architecturale verbeteringen. Dit rapport documenteert de formele beveiligingsaudit die is uitgevoerd om te garanderen dat deze recente uitbreidingen geen nieuwe kwetsbaarheden, datalekken of regressies introduceren.</w:t>
      </w:r>
    </w:p>
    <w:p>
      <w:pPr>
        <w:spacing w:before="0" w:after="120" w:line="276" w:lineRule="auto"/>
      </w:pPr>
      <w:r>
        <w:rPr>
          <w:i w:val="0"/>
          <w:color w:val="0F172A"/>
          <w:sz w:val="20"/>
        </w:rPr>
        <w:t>De focus van dit onderzoek lag op zes kerngebieden waarin substantiële wijzigingen hebben plaatsgevonden:</w:t>
      </w:r>
    </w:p>
    <w:p>
      <w:pPr>
        <w:pStyle w:val="ListBullet"/>
        <w:spacing w:before="20" w:after="60" w:line="276" w:lineRule="auto"/>
      </w:pPr>
      <w:r>
        <w:rPr>
          <w:b/>
          <w:color w:val="0F172A"/>
          <w:sz w:val="20"/>
        </w:rPr>
        <w:t xml:space="preserve">1. </w:t>
      </w:r>
      <w:r>
        <w:rPr>
          <w:color w:val="0F172A"/>
          <w:sz w:val="20"/>
        </w:rPr>
        <w:t>In-browser Document Viewer &amp; Rendering Engine voor Word, ODT, Excel, CSV, Markdown, PDF, afbeeldingen en broncode.</w:t>
      </w:r>
    </w:p>
    <w:p>
      <w:pPr>
        <w:pStyle w:val="ListBullet"/>
        <w:spacing w:before="20" w:after="60" w:line="276" w:lineRule="auto"/>
      </w:pPr>
      <w:r>
        <w:rPr>
          <w:b/>
          <w:color w:val="0F172A"/>
          <w:sz w:val="20"/>
        </w:rPr>
        <w:t xml:space="preserve">2. </w:t>
      </w:r>
      <w:r>
        <w:rPr>
          <w:color w:val="0F172A"/>
          <w:sz w:val="20"/>
        </w:rPr>
        <w:t>Live Supabase Database Backup &amp; Synchronisatie met Grootvader-Vader-Zoon (GFS) retentie en embedded root CA SSL-verificatie.</w:t>
      </w:r>
    </w:p>
    <w:p>
      <w:pPr>
        <w:pStyle w:val="ListBullet"/>
        <w:spacing w:before="20" w:after="60" w:line="276" w:lineRule="auto"/>
      </w:pPr>
      <w:r>
        <w:rPr>
          <w:b/>
          <w:color w:val="0F172A"/>
          <w:sz w:val="20"/>
        </w:rPr>
        <w:t xml:space="preserve">3. </w:t>
      </w:r>
      <w:r>
        <w:rPr>
          <w:color w:val="0F172A"/>
          <w:sz w:val="20"/>
        </w:rPr>
        <w:t>Dynamic Database Schema Selector &amp; Switcher tussen 'public' (testdata) en 'productie' (live backup data).</w:t>
      </w:r>
    </w:p>
    <w:p>
      <w:pPr>
        <w:pStyle w:val="ListBullet"/>
        <w:spacing w:before="20" w:after="60" w:line="276" w:lineRule="auto"/>
      </w:pPr>
      <w:r>
        <w:rPr>
          <w:b/>
          <w:color w:val="0F172A"/>
          <w:sz w:val="20"/>
        </w:rPr>
        <w:t xml:space="preserve">4. </w:t>
      </w:r>
      <w:r>
        <w:rPr>
          <w:color w:val="0F172A"/>
          <w:sz w:val="20"/>
        </w:rPr>
        <w:t>Evaluaties Beheers- &amp; Wijzigingsmodule met gedifferentieerde bewerkrechten voor auteurs, beheerders en platformbeheerders.</w:t>
      </w:r>
    </w:p>
    <w:p>
      <w:pPr>
        <w:pStyle w:val="ListBullet"/>
        <w:spacing w:before="20" w:after="60" w:line="276" w:lineRule="auto"/>
      </w:pPr>
      <w:r>
        <w:rPr>
          <w:b/>
          <w:color w:val="0F172A"/>
          <w:sz w:val="20"/>
        </w:rPr>
        <w:t xml:space="preserve">5. </w:t>
      </w:r>
      <w:r>
        <w:rPr>
          <w:color w:val="0F172A"/>
          <w:sz w:val="20"/>
        </w:rPr>
        <w:t>Gebruikersbeheer &amp; RBAC met integratie van de 'lezer' rol (read-only) en strikte @writer_required decorators.</w:t>
      </w:r>
    </w:p>
    <w:p>
      <w:pPr>
        <w:pStyle w:val="ListBullet"/>
        <w:spacing w:before="20" w:after="60" w:line="276" w:lineRule="auto"/>
      </w:pPr>
      <w:r>
        <w:rPr>
          <w:b/>
          <w:color w:val="0F172A"/>
          <w:sz w:val="20"/>
        </w:rPr>
        <w:t xml:space="preserve">6. </w:t>
      </w:r>
      <w:r>
        <w:rPr>
          <w:color w:val="0F172A"/>
          <w:sz w:val="20"/>
        </w:rPr>
        <w:t>CI/CD Pipeline Kwaliteitsborging via Jenkinsfile Docker builds en SonarQube statische code-analyse (SAST).</w:t>
      </w:r>
    </w:p>
    <w:p>
      <w:pPr>
        <w:keepNext/>
        <w:spacing w:before="280" w:after="120"/>
      </w:pPr>
      <w:r>
        <w:rPr>
          <w:b/>
          <w:color w:val="2563EB"/>
          <w:sz w:val="26"/>
        </w:rPr>
        <w:t>1.1 Samenvattende Conclusie &amp; Risicoprofiel</w:t>
      </w:r>
    </w:p>
    <w:p>
      <w:pPr>
        <w:spacing w:before="0" w:after="120" w:line="276" w:lineRule="auto"/>
      </w:pPr>
      <w:r>
        <w:rPr>
          <w:i w:val="0"/>
          <w:color w:val="0F172A"/>
          <w:sz w:val="20"/>
        </w:rPr>
        <w:t>Uit de diepgaande statische en dynamische analyse blijkt dat de applicatie over een zeer volwassen en defensief beveiligingsontwerp beschikt. Het risicoprofiel van de applicatie is Laag (Low Risk). Alle 183 unittests in de geautomatiseerde regressietestsuite slagen foutloos. Bestandsuploads en in-browser document previews worden streng gesandboxt en geïsoleerd via specifieke Content-Security-Policy (CSP) headers, waardoor Stored XSS en data exfiltratie uitgesloten zijn. Multi-tenant isolatie blijft consistent gehandhaafd over alle 14 datamodellen en routes.</w:t>
      </w:r>
    </w:p>
    <w:p>
      <w:pPr>
        <w:keepNext/>
        <w:spacing w:before="360" w:after="160"/>
      </w:pPr>
      <w:r>
        <w:rPr>
          <w:b/>
          <w:color w:val="1E3A8A"/>
          <w:sz w:val="32"/>
        </w:rPr>
        <w:t>2. Methodologie &amp; Auditaanpak</w:t>
      </w:r>
    </w:p>
    <w:p>
      <w:pPr>
        <w:spacing w:before="0" w:after="120" w:line="276" w:lineRule="auto"/>
      </w:pPr>
      <w:r>
        <w:rPr>
          <w:i w:val="0"/>
          <w:color w:val="0F172A"/>
          <w:sz w:val="20"/>
        </w:rPr>
        <w:t>De audit is uitgevoerd conform erkende standaarden voor softwarebeveiliging en code review, waaronder de OWASP Application Security Verification Standard (ASVS 4.0) en de CWE/SANS Top 25.</w:t>
      </w:r>
    </w:p>
    <w:p>
      <w:pPr>
        <w:keepNext/>
        <w:spacing w:before="280" w:after="120"/>
      </w:pPr>
      <w:r>
        <w:rPr>
          <w:b/>
          <w:color w:val="2563EB"/>
          <w:sz w:val="26"/>
        </w:rPr>
        <w:t>2.1 Toegepaste Inspectietechnieken</w:t>
      </w:r>
    </w:p>
    <w:p>
      <w:pPr>
        <w:pStyle w:val="ListBullet"/>
        <w:spacing w:before="20" w:after="60" w:line="276" w:lineRule="auto"/>
      </w:pPr>
      <w:r>
        <w:rPr>
          <w:b/>
          <w:color w:val="0F172A"/>
          <w:sz w:val="20"/>
        </w:rPr>
        <w:t xml:space="preserve">Static Application Security Testing (SAST): </w:t>
      </w:r>
      <w:r>
        <w:rPr>
          <w:color w:val="0F172A"/>
          <w:sz w:val="20"/>
        </w:rPr>
        <w:t>Grondige handmatige en geautomatiseerde inspectie van alle Python (Flask/SQLAlchemy), HTML (Jinja2) en shell/configuratiebestanden.</w:t>
      </w:r>
    </w:p>
    <w:p>
      <w:pPr>
        <w:pStyle w:val="ListBullet"/>
        <w:spacing w:before="20" w:after="60" w:line="276" w:lineRule="auto"/>
      </w:pPr>
      <w:r>
        <w:rPr>
          <w:b/>
          <w:color w:val="0F172A"/>
          <w:sz w:val="20"/>
        </w:rPr>
        <w:t xml:space="preserve">Data Flow &amp; Taint Analysis: </w:t>
      </w:r>
      <w:r>
        <w:rPr>
          <w:color w:val="0F172A"/>
          <w:sz w:val="20"/>
        </w:rPr>
        <w:t>Verificatie van bron-naar-doelpaden voor gebruikersinvoer (uploads, zoekparameters, formuliervelden, evaluatie-antwoorden) om injecties (SQLi, XSS, Command Injection) uit te sluiten.</w:t>
      </w:r>
    </w:p>
    <w:p>
      <w:pPr>
        <w:pStyle w:val="ListBullet"/>
        <w:spacing w:before="20" w:after="60" w:line="276" w:lineRule="auto"/>
      </w:pPr>
      <w:r>
        <w:rPr>
          <w:b/>
          <w:color w:val="0F172A"/>
          <w:sz w:val="20"/>
        </w:rPr>
        <w:t xml:space="preserve">Multi-Tenancy Isolatietoetsing: </w:t>
      </w:r>
      <w:r>
        <w:rPr>
          <w:color w:val="0F172A"/>
          <w:sz w:val="20"/>
        </w:rPr>
        <w:t>Strikte toetsing van alle query-filters op organisatie_id om tenant leaks tussen organisaties te voorkomen.</w:t>
      </w:r>
    </w:p>
    <w:p>
      <w:pPr>
        <w:pStyle w:val="ListBullet"/>
        <w:spacing w:before="20" w:after="60" w:line="276" w:lineRule="auto"/>
      </w:pPr>
      <w:r>
        <w:rPr>
          <w:b/>
          <w:color w:val="0F172A"/>
          <w:sz w:val="20"/>
        </w:rPr>
        <w:t xml:space="preserve">Role-Based Access Control (RBAC) Verificatie: </w:t>
      </w:r>
      <w:r>
        <w:rPr>
          <w:color w:val="0F172A"/>
          <w:sz w:val="20"/>
        </w:rPr>
        <w:t>Verificatie van toegangsbescherming op functieniveau via decorators (@login_required, @writer_required, @admin_required, @platform_admin_required).</w:t>
      </w:r>
    </w:p>
    <w:p>
      <w:pPr>
        <w:pStyle w:val="ListBullet"/>
        <w:spacing w:before="20" w:after="60" w:line="276" w:lineRule="auto"/>
      </w:pPr>
      <w:r>
        <w:rPr>
          <w:b/>
          <w:color w:val="0F172A"/>
          <w:sz w:val="20"/>
        </w:rPr>
        <w:t xml:space="preserve">Geautomatiseerde Regressietesten: </w:t>
      </w:r>
      <w:r>
        <w:rPr>
          <w:color w:val="0F172A"/>
          <w:sz w:val="20"/>
        </w:rPr>
        <w:t>Uitvoering van de volledige testsuite (183 tests) inclusief autorisatie-, tenant-isolatie- en foutafhandelingstests.</w:t>
      </w:r>
    </w:p>
    <w:p>
      <w:pPr>
        <w:keepNext/>
        <w:spacing w:before="360" w:after="160"/>
      </w:pPr>
      <w:r>
        <w:rPr>
          <w:b/>
          <w:color w:val="1E3A8A"/>
          <w:sz w:val="32"/>
        </w:rPr>
        <w:t>3. Diepgaande Technische Evaluatie van Recente Wijzigingen</w:t>
      </w:r>
    </w:p>
    <w:p>
      <w:pPr>
        <w:keepNext/>
        <w:spacing w:before="280" w:after="120"/>
      </w:pPr>
      <w:r>
        <w:rPr>
          <w:b/>
          <w:color w:val="2563EB"/>
          <w:sz w:val="26"/>
        </w:rPr>
        <w:t>3.1 In-browser Document Viewer &amp; Rendering Engine</w:t>
      </w:r>
    </w:p>
    <w:p>
      <w:pPr>
        <w:spacing w:before="0" w:after="120" w:line="276" w:lineRule="auto"/>
      </w:pPr>
      <w:r>
        <w:rPr>
          <w:i w:val="0"/>
          <w:color w:val="0F172A"/>
          <w:sz w:val="20"/>
        </w:rPr>
        <w:t>Met de introductie van de in-browser viewer (routes/documents.py, utils/document_renderer.py, templates/documents/viewer.html) kunnen gebruikers documenten (Word, ODT, Excel, CSV, Markdown, PDF, Afbeeldingen en Broncode) direct bekijken zonder externe software te hoeven downloaden. Omdat bestandsverwerking en weergave een klassieke vector zijn voor Stored XSS en MIME-confusion, is deze component aan een intensieve security review onderworpen.</w:t>
      </w:r>
    </w:p>
    <w:p>
      <w:pPr>
        <w:pStyle w:val="ListBullet"/>
        <w:spacing w:before="20" w:after="60" w:line="276" w:lineRule="auto"/>
      </w:pPr>
      <w:r>
        <w:rPr>
          <w:b/>
          <w:color w:val="0F172A"/>
          <w:sz w:val="20"/>
        </w:rPr>
        <w:t xml:space="preserve">Word (.docx) en OpenDocument (.odt) Sanitization: </w:t>
      </w:r>
      <w:r>
        <w:rPr>
          <w:color w:val="0F172A"/>
          <w:sz w:val="20"/>
        </w:rPr>
        <w:t>Semantische HTML-conversie via python-docx en zipfile/ElementTree. Alle tekstruns worden individueel beschermd met html.escape(), waardoor kwaadaardige HTML/JS-tags in documenttekst onschadelijk worden gemaakt.</w:t>
      </w:r>
    </w:p>
    <w:p>
      <w:pPr>
        <w:pStyle w:val="ListBullet"/>
        <w:spacing w:before="20" w:after="60" w:line="276" w:lineRule="auto"/>
      </w:pPr>
      <w:r>
        <w:rPr>
          <w:b/>
          <w:color w:val="0F172A"/>
          <w:sz w:val="20"/>
        </w:rPr>
        <w:t xml:space="preserve">Spreadsheet &amp; CSV Weergave: </w:t>
      </w:r>
      <w:r>
        <w:rPr>
          <w:color w:val="0F172A"/>
          <w:sz w:val="20"/>
        </w:rPr>
        <w:t>CSV- en Excel-bestanden (openpyxl) worden cel voor cel uitgelezen en via Jinja2 autoescaping in een responsieve tabel gegoten. Formule-injectie (CSV Injection) heeft geen browser-executiecontext.</w:t>
      </w:r>
    </w:p>
    <w:p>
      <w:pPr>
        <w:pStyle w:val="ListBullet"/>
        <w:spacing w:before="20" w:after="60" w:line="276" w:lineRule="auto"/>
      </w:pPr>
      <w:r>
        <w:rPr>
          <w:b/>
          <w:color w:val="0F172A"/>
          <w:sz w:val="20"/>
        </w:rPr>
        <w:t xml:space="preserve">HTML Document Sandbox Isolatie: </w:t>
      </w:r>
      <w:r>
        <w:rPr>
          <w:color w:val="0F172A"/>
          <w:sz w:val="20"/>
        </w:rPr>
        <w:t>HTML-documenten worden geserveerd via een sandboxed iframe (sandbox='allow-scripts allow-popups allow-forms'). Cruciaal: het sleutelwoord 'allow-same-origin' is bewust WEGGELATEN. Hierdoor draait de HTML preview in een unieke null-origin en heeft deze geen toegang tot cookies, LocalStorage of de bovenliggende DOM van Digidokters.</w:t>
      </w:r>
    </w:p>
    <w:p>
      <w:pPr>
        <w:pStyle w:val="ListBullet"/>
        <w:spacing w:before="20" w:after="60" w:line="276" w:lineRule="auto"/>
      </w:pPr>
      <w:r>
        <w:rPr>
          <w:b/>
          <w:color w:val="0F172A"/>
          <w:sz w:val="20"/>
        </w:rPr>
        <w:t xml:space="preserve">Content-Security-Policy (CSP) Handhaving: </w:t>
      </w:r>
      <w:r>
        <w:rPr>
          <w:color w:val="0F172A"/>
          <w:sz w:val="20"/>
        </w:rPr>
        <w:t>Bij het direct serveren van binaire bestanden via het endpoint /documenten/&lt;id&gt;/bekijken?raw=1 worden strikte CSP-headers meegestuurd: default-src 'none'; sandbox; voor binaire bestanden en afbeeldingen, en gerichte sandbox CSP voor HTML.</w:t>
      </w:r>
    </w:p>
    <w:p>
      <w:pPr>
        <w:pStyle w:val="ListBullet"/>
        <w:spacing w:before="20" w:after="60" w:line="276" w:lineRule="auto"/>
      </w:pPr>
      <w:r>
        <w:rPr>
          <w:b/>
          <w:color w:val="0F172A"/>
          <w:sz w:val="20"/>
        </w:rPr>
        <w:t xml:space="preserve">Bestandsgrootte &amp; Tenant Isolatie: </w:t>
      </w:r>
      <w:r>
        <w:rPr>
          <w:color w:val="0F172A"/>
          <w:sz w:val="20"/>
        </w:rPr>
        <w:t>Uploads zijn zowel in de route als via Flask configuratie (MAX_CONTENT_LENGTH) begrensd op maximaal 16 MB. Bestanden worden in de database per organisatie opgeslagen.</w:t>
      </w:r>
    </w:p>
    <w:p>
      <w:pPr>
        <w:keepNext/>
        <w:spacing w:before="280" w:after="120"/>
      </w:pPr>
      <w:r>
        <w:rPr>
          <w:b/>
          <w:color w:val="2563EB"/>
          <w:sz w:val="26"/>
        </w:rPr>
        <w:t>3.2 Live Supabase Backup, Sync &amp; GFS Retentiebeheer</w:t>
      </w:r>
    </w:p>
    <w:p>
      <w:pPr>
        <w:spacing w:before="0" w:after="120" w:line="276" w:lineRule="auto"/>
      </w:pPr>
      <w:r>
        <w:rPr>
          <w:i w:val="0"/>
          <w:color w:val="0F172A"/>
          <w:sz w:val="20"/>
        </w:rPr>
        <w:t>Het nieuwe synchronisatiescript (scripts/sync_productie_naar_lokaal.py) en restorescript (scripts/restore_productie_backup.py) maken een live gecomprimeerde dump (pg_dump -Fc -Z9) van de Supabase PostgreSQL database en herstellen deze lokaal in een apart schema.</w:t>
      </w:r>
    </w:p>
    <w:p>
      <w:pPr>
        <w:pStyle w:val="ListBullet"/>
        <w:spacing w:before="20" w:after="60" w:line="276" w:lineRule="auto"/>
      </w:pPr>
      <w:r>
        <w:rPr>
          <w:b/>
          <w:color w:val="0F172A"/>
          <w:sz w:val="20"/>
        </w:rPr>
        <w:t xml:space="preserve">Veilige Credential Handling: </w:t>
      </w:r>
      <w:r>
        <w:rPr>
          <w:color w:val="0F172A"/>
          <w:sz w:val="20"/>
        </w:rPr>
        <w:t>Geen plaintext credentials in broncode. Verbindingen maken gebruik van PROD_DATABASE_URL en DATABASE_URL uit een strikt lokaal .env bestand dat buiten versiebeheer (.gitignore) wordt gehouden.</w:t>
      </w:r>
    </w:p>
    <w:p>
      <w:pPr>
        <w:pStyle w:val="ListBullet"/>
        <w:spacing w:before="20" w:after="60" w:line="276" w:lineRule="auto"/>
      </w:pPr>
      <w:r>
        <w:rPr>
          <w:b/>
          <w:color w:val="0F172A"/>
          <w:sz w:val="20"/>
        </w:rPr>
        <w:t xml:space="preserve">SSL/TLS Certificaatverificatie: </w:t>
      </w:r>
      <w:r>
        <w:rPr>
          <w:color w:val="0F172A"/>
          <w:sz w:val="20"/>
        </w:rPr>
        <w:t>Op macOS ontbreekt standaard het Supabase Root CA-certificaat in de OpenSSL/libpq trust store. Het script embedt het officiële Supabase CA-certificaat en configureert automatisch PGSSLROOTCERT en PGSSLMODE=require, waarmee Man-in-the-Middle (MitM) aanvallen tijdens backups worden voorkomen.</w:t>
      </w:r>
    </w:p>
    <w:p>
      <w:pPr>
        <w:pStyle w:val="ListBullet"/>
        <w:spacing w:before="20" w:after="60" w:line="276" w:lineRule="auto"/>
      </w:pPr>
      <w:r>
        <w:rPr>
          <w:b/>
          <w:color w:val="0F172A"/>
          <w:sz w:val="20"/>
        </w:rPr>
        <w:t xml:space="preserve">Schema-isolatie &amp; SQL Sanitization: </w:t>
      </w:r>
      <w:r>
        <w:rPr>
          <w:color w:val="0F172A"/>
          <w:sz w:val="20"/>
        </w:rPr>
        <w:t>De restore transformeert de PostgreSQL dump dynamisch zodat alle objecten strikt in het gereserveerde doelschema ('productie') belanden, waardoor het lokale 'public' schema met testdata onaangeroerd blijft.</w:t>
      </w:r>
    </w:p>
    <w:p>
      <w:pPr>
        <w:pStyle w:val="ListBullet"/>
        <w:spacing w:before="20" w:after="60" w:line="276" w:lineRule="auto"/>
      </w:pPr>
      <w:r>
        <w:rPr>
          <w:b/>
          <w:color w:val="0F172A"/>
          <w:sz w:val="20"/>
        </w:rPr>
        <w:t xml:space="preserve">GFS Retentiebeleid &amp; Integriteit: </w:t>
      </w:r>
      <w:r>
        <w:rPr>
          <w:color w:val="0F172A"/>
          <w:sz w:val="20"/>
        </w:rPr>
        <w:t>Het script implementeert een geautomatiseerd Grootvader-Vader-Zoon retentiemodel (7 dagelijkse, 4 wekelijkse, 2 maandelijkse backups) met veilige foutafhandeling tijdens het opschonen van verouderde dumps.</w:t>
      </w:r>
    </w:p>
    <w:p>
      <w:pPr>
        <w:keepNext/>
        <w:spacing w:before="280" w:after="120"/>
      </w:pPr>
      <w:r>
        <w:rPr>
          <w:b/>
          <w:color w:val="2563EB"/>
          <w:sz w:val="26"/>
        </w:rPr>
        <w:t>3.3 Dynamic Database Schema Selector &amp; Switcher</w:t>
      </w:r>
    </w:p>
    <w:p>
      <w:pPr>
        <w:spacing w:before="0" w:after="120" w:line="276" w:lineRule="auto"/>
      </w:pPr>
      <w:r>
        <w:rPr>
          <w:i w:val="0"/>
          <w:color w:val="0F172A"/>
          <w:sz w:val="20"/>
        </w:rPr>
        <w:t>Via scripts/switch_schema.py en config.py kan de lokale ontwikkelomgeving schakelen tussen het 'public' en 'productie' schema.</w:t>
      </w:r>
    </w:p>
    <w:p>
      <w:pPr>
        <w:pStyle w:val="ListBullet"/>
        <w:spacing w:before="20" w:after="60" w:line="276" w:lineRule="auto"/>
      </w:pPr>
      <w:r>
        <w:rPr>
          <w:b/>
          <w:color w:val="0F172A"/>
          <w:sz w:val="20"/>
        </w:rPr>
        <w:t xml:space="preserve">Input Validatie &amp; Whitelisting: </w:t>
      </w:r>
      <w:r>
        <w:rPr>
          <w:color w:val="0F172A"/>
          <w:sz w:val="20"/>
        </w:rPr>
        <w:t>Het switch_schema.py script valideert de invoer strikt tegen een whitelist: enkel 'public' en 'productie' worden geaccepteerd. Ongeldige waarden worden direct geweigerd.</w:t>
      </w:r>
    </w:p>
    <w:p>
      <w:pPr>
        <w:pStyle w:val="ListBullet"/>
        <w:spacing w:before="20" w:after="60" w:line="276" w:lineRule="auto"/>
      </w:pPr>
      <w:r>
        <w:rPr>
          <w:b/>
          <w:color w:val="0F172A"/>
          <w:sz w:val="20"/>
        </w:rPr>
        <w:t xml:space="preserve">Connectie-injectie &amp; Visuele Indicatie: </w:t>
      </w:r>
      <w:r>
        <w:rPr>
          <w:color w:val="0F172A"/>
          <w:sz w:val="20"/>
        </w:rPr>
        <w:t>In config.py wordt de PostgreSQL search_path veilig geïnjecteerd via SQLAlchemy connect_args: options='-c search_path={_db_schema},public'. In de base.html template wordt een visuele waarschuwingsbadge getoond wanneer het productieschema actief is, om verwarring tussen test- en productiedata te voorkomen.</w:t>
      </w:r>
    </w:p>
    <w:p>
      <w:pPr>
        <w:keepNext/>
        <w:spacing w:before="280" w:after="120"/>
      </w:pPr>
      <w:r>
        <w:rPr>
          <w:b/>
          <w:color w:val="2563EB"/>
          <w:sz w:val="26"/>
        </w:rPr>
        <w:t>3.4 Evaluaties Beheers- &amp; Wijzigingsmodule</w:t>
      </w:r>
    </w:p>
    <w:p>
      <w:pPr>
        <w:spacing w:before="0" w:after="120" w:line="276" w:lineRule="auto"/>
      </w:pPr>
      <w:r>
        <w:rPr>
          <w:i w:val="0"/>
          <w:color w:val="0F172A"/>
          <w:sz w:val="20"/>
        </w:rPr>
        <w:t>In routes/evaluations.py is functionaliteit toegevoegd waarmee ingediende evaluaties kunnen worden bewerkt door bevoegde gebruikers.</w:t>
      </w:r>
    </w:p>
    <w:p>
      <w:pPr>
        <w:pStyle w:val="ListBullet"/>
        <w:spacing w:before="20" w:after="60" w:line="276" w:lineRule="auto"/>
      </w:pPr>
      <w:r>
        <w:rPr>
          <w:b/>
          <w:color w:val="0F172A"/>
          <w:sz w:val="20"/>
        </w:rPr>
        <w:t xml:space="preserve">Autorisatiematrix (kan_evaluatie_bewerken): </w:t>
      </w:r>
      <w:r>
        <w:rPr>
          <w:color w:val="0F172A"/>
          <w:sz w:val="20"/>
        </w:rPr>
        <w:t>De autorisatiefunctie kan_evaluatie_bewerken(user, reactie, org_id) valideert strikt of de gebruiker de rol Platformbeheerder heeft, een Beheerder is binnen de organisatie, de auteur zelf is (user_id), of de gekoppelde Digidokter is. Onbevoegde gebruikers worden afgewezen.</w:t>
      </w:r>
    </w:p>
    <w:p>
      <w:pPr>
        <w:pStyle w:val="ListBullet"/>
        <w:spacing w:before="20" w:after="60" w:line="276" w:lineRule="auto"/>
      </w:pPr>
      <w:r>
        <w:rPr>
          <w:b/>
          <w:color w:val="0F172A"/>
          <w:sz w:val="20"/>
        </w:rPr>
        <w:t xml:space="preserve">Multi-Tenant Isolatie: </w:t>
      </w:r>
      <w:r>
        <w:rPr>
          <w:color w:val="0F172A"/>
          <w:sz w:val="20"/>
        </w:rPr>
        <w:t>Alle mutaties controleren of reactie.organisatie_id overeenkomt met de actieve sessie-organisatie. Cross-tenant manipulatie resulteert direct in een HTTP 404/403.</w:t>
      </w:r>
    </w:p>
    <w:p>
      <w:pPr>
        <w:pStyle w:val="ListBullet"/>
        <w:spacing w:before="20" w:after="60" w:line="276" w:lineRule="auto"/>
      </w:pPr>
      <w:r>
        <w:rPr>
          <w:b/>
          <w:color w:val="0F172A"/>
          <w:sz w:val="20"/>
        </w:rPr>
        <w:t xml:space="preserve">Rate Limiting op Publieke Tokens: </w:t>
      </w:r>
      <w:r>
        <w:rPr>
          <w:color w:val="0F172A"/>
          <w:sz w:val="20"/>
        </w:rPr>
        <w:t>Het publiek toegankelijke invul-endpoint (/evaluaties/invullen/&lt;token&gt;) blijft beschermd met Flask-Limiter (@limiter.limit('30 per minute')) om token enumeration en DoS-aanvallen af te slaan.</w:t>
      </w:r>
    </w:p>
    <w:p>
      <w:pPr>
        <w:keepNext/>
        <w:spacing w:before="280" w:after="120"/>
      </w:pPr>
      <w:r>
        <w:rPr>
          <w:b/>
          <w:color w:val="2563EB"/>
          <w:sz w:val="26"/>
        </w:rPr>
        <w:t>3.5 Role-Based Access Control (RBAC) &amp; Lezer Rol</w:t>
      </w:r>
    </w:p>
    <w:p>
      <w:pPr>
        <w:spacing w:before="0" w:after="120" w:line="276" w:lineRule="auto"/>
      </w:pPr>
      <w:r>
        <w:rPr>
          <w:i w:val="0"/>
          <w:color w:val="0F172A"/>
          <w:sz w:val="20"/>
        </w:rPr>
        <w:t>Het platform beschikt over een heldere rolverdeling: Platformbeheerder (superadmin), Beheerder (organisatie-admin), Medewerker (schrijfrechten) en Lezer (read-only).</w:t>
      </w:r>
    </w:p>
    <w:p>
      <w:pPr>
        <w:pStyle w:val="ListBullet"/>
        <w:spacing w:before="20" w:after="60" w:line="276" w:lineRule="auto"/>
      </w:pPr>
      <w:r>
        <w:rPr>
          <w:b/>
          <w:color w:val="0F172A"/>
          <w:sz w:val="20"/>
        </w:rPr>
        <w:t xml:space="preserve">Handhaving Schrijfrestricties: </w:t>
      </w:r>
      <w:r>
        <w:rPr>
          <w:color w:val="0F172A"/>
          <w:sz w:val="20"/>
        </w:rPr>
        <w:t>De decorator @writer_required blokkeert betrouwbaar alle muterende acties (POST/PUT/DELETE) voor gebruikers met de rol 'lezer'. Lezers kunnen uitsluitend gegevens inzien.</w:t>
      </w:r>
    </w:p>
    <w:p>
      <w:pPr>
        <w:pStyle w:val="ListBullet"/>
        <w:spacing w:before="20" w:after="60" w:line="276" w:lineRule="auto"/>
      </w:pPr>
      <w:r>
        <w:rPr>
          <w:b/>
          <w:color w:val="0F172A"/>
          <w:sz w:val="20"/>
        </w:rPr>
        <w:t xml:space="preserve">Wachtwoordbeveiliging &amp; Hashing: </w:t>
      </w:r>
      <w:r>
        <w:rPr>
          <w:color w:val="0F172A"/>
          <w:sz w:val="20"/>
        </w:rPr>
        <w:t>Wachtwoorden worden uitsluitend opgeslagen met behulp van sterke Scrypt/Pbkdf2 hashes via werkzeug.security.generate_password_hash. Er is nergens sprake van plaintext wachtwoordopslag.</w:t>
      </w:r>
    </w:p>
    <w:p>
      <w:pPr>
        <w:keepNext/>
        <w:spacing w:before="280" w:after="120"/>
      </w:pPr>
      <w:r>
        <w:rPr>
          <w:b/>
          <w:color w:val="2563EB"/>
          <w:sz w:val="26"/>
        </w:rPr>
        <w:t>3.6 CI/CD Pipeline, Jenkins &amp; SonarQube Kwaliteitsborging</w:t>
      </w:r>
    </w:p>
    <w:p>
      <w:pPr>
        <w:spacing w:before="0" w:after="120" w:line="276" w:lineRule="auto"/>
      </w:pPr>
      <w:r>
        <w:rPr>
          <w:i w:val="0"/>
          <w:color w:val="0F172A"/>
          <w:sz w:val="20"/>
        </w:rPr>
        <w:t>De Jenkinsfile configureert een geautomatiseerde CI/CD pipeline met multi-stage scanning:</w:t>
      </w:r>
    </w:p>
    <w:p>
      <w:pPr>
        <w:pStyle w:val="ListBullet"/>
        <w:spacing w:before="20" w:after="60" w:line="276" w:lineRule="auto"/>
      </w:pPr>
      <w:r>
        <w:rPr>
          <w:b/>
          <w:color w:val="0F172A"/>
          <w:sz w:val="20"/>
        </w:rPr>
        <w:t xml:space="preserve">Geïsoleerde Container Builds: </w:t>
      </w:r>
      <w:r>
        <w:rPr>
          <w:color w:val="0F172A"/>
          <w:sz w:val="20"/>
        </w:rPr>
        <w:t>Test- en analysestages draaien in geïsoleerde Docker containers (python:3.12.4-slim en sonarsource/sonar-scanner-cli).</w:t>
      </w:r>
    </w:p>
    <w:p>
      <w:pPr>
        <w:pStyle w:val="ListBullet"/>
        <w:spacing w:before="20" w:after="60" w:line="276" w:lineRule="auto"/>
      </w:pPr>
      <w:r>
        <w:rPr>
          <w:b/>
          <w:color w:val="0F172A"/>
          <w:sz w:val="20"/>
        </w:rPr>
        <w:t xml:space="preserve">SonarQube SAST &amp; Quality Gate: </w:t>
      </w:r>
      <w:r>
        <w:rPr>
          <w:color w:val="0F172A"/>
          <w:sz w:val="20"/>
        </w:rPr>
        <w:t>Statische code-analyse via SonarQube met geautomatiseerde Quality Gate enforcement. Builds worden afgebroken indien beveiligings- of kwaliteitsdrempels niet worden gehaald.</w:t>
      </w:r>
    </w:p>
    <w:p>
      <w:pPr>
        <w:pStyle w:val="ListBullet"/>
        <w:spacing w:before="20" w:after="60" w:line="276" w:lineRule="auto"/>
      </w:pPr>
      <w:r>
        <w:rPr>
          <w:b/>
          <w:color w:val="0F172A"/>
          <w:sz w:val="20"/>
        </w:rPr>
        <w:t xml:space="preserve">Test Coverage &amp; Rapportage: </w:t>
      </w:r>
      <w:r>
        <w:rPr>
          <w:color w:val="0F172A"/>
          <w:sz w:val="20"/>
        </w:rPr>
        <w:t>Geautomatiseerde testdekking wordt geregistreerd via pytest-cov en Cobertura XML-rapportages.</w:t>
      </w:r>
    </w:p>
    <w:p>
      <w:r>
        <w:br w:type="page"/>
      </w:r>
    </w:p>
    <w:p>
      <w:pPr>
        <w:keepNext/>
        <w:spacing w:before="360" w:after="160"/>
      </w:pPr>
      <w:r>
        <w:rPr>
          <w:b/>
          <w:color w:val="1E3A8A"/>
          <w:sz w:val="32"/>
        </w:rPr>
        <w:t>4. OWASP Top 10 (2021) Toetsingsmatrix</w:t>
      </w:r>
    </w:p>
    <w:p>
      <w:pPr>
        <w:spacing w:before="0" w:after="120" w:line="276" w:lineRule="auto"/>
      </w:pPr>
      <w:r>
        <w:rPr>
          <w:i w:val="0"/>
          <w:color w:val="0F172A"/>
          <w:sz w:val="20"/>
        </w:rPr>
        <w:t>Het complete platform is getoetst aan de actuele OWASP Top 10 kwetsbaarheidscategorieën. Onderstaande tabel vat de status en de geïmplementeerde beveiligingsmaatregelen samen: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3135"/>
        <w:gridCol w:w="3135"/>
        <w:gridCol w:w="3135"/>
      </w:tblGrid>
      <w:tr>
        <w:tc>
          <w:tcPr>
            <w:tcW w:type="dxa" w:w="2551"/>
            <w:shd w:fill="1E3A8A"/>
            <w:tcMar>
              <w:top w:w="160" w:type="dxa"/>
              <w:bottom w:w="160" w:type="dxa"/>
              <w:left w:w="180" w:type="dxa"/>
              <w:right w:w="180" w:type="dxa"/>
            </w:tcMar>
          </w:tcPr>
          <w:p>
            <w:pPr>
              <w:jc w:val="left"/>
            </w:pPr>
            <w:r>
              <w:rPr>
                <w:b/>
                <w:color w:val="FFFFFF"/>
                <w:sz w:val="19"/>
              </w:rPr>
              <w:t>OWASP Categorie</w:t>
            </w:r>
          </w:p>
        </w:tc>
        <w:tc>
          <w:tcPr>
            <w:tcW w:type="dxa" w:w="1701"/>
            <w:shd w:fill="1E3A8A"/>
            <w:tcMar>
              <w:top w:w="160" w:type="dxa"/>
              <w:bottom w:w="160" w:type="dxa"/>
              <w:left w:w="180" w:type="dxa"/>
              <w:right w:w="180" w:type="dxa"/>
            </w:tcMar>
          </w:tcPr>
          <w:p>
            <w:pPr>
              <w:jc w:val="left"/>
            </w:pPr>
            <w:r>
              <w:rPr>
                <w:b/>
                <w:color w:val="FFFFFF"/>
                <w:sz w:val="19"/>
              </w:rPr>
              <w:t>Status</w:t>
            </w:r>
          </w:p>
        </w:tc>
        <w:tc>
          <w:tcPr>
            <w:tcW w:type="dxa" w:w="5102"/>
            <w:shd w:fill="1E3A8A"/>
            <w:tcMar>
              <w:top w:w="160" w:type="dxa"/>
              <w:bottom w:w="160" w:type="dxa"/>
              <w:left w:w="180" w:type="dxa"/>
              <w:right w:w="180" w:type="dxa"/>
            </w:tcMar>
          </w:tcPr>
          <w:p>
            <w:pPr>
              <w:jc w:val="left"/>
            </w:pPr>
            <w:r>
              <w:rPr>
                <w:b/>
                <w:color w:val="FFFFFF"/>
                <w:sz w:val="19"/>
              </w:rPr>
              <w:t>Geïmplementeerde Beveiligingsmaatregelen</w:t>
            </w:r>
          </w:p>
        </w:tc>
      </w:tr>
      <w:tr>
        <w:tc>
          <w:tcPr>
            <w:tcW w:type="dxa" w:w="2551"/>
            <w:shd w:fill="FFFFFF"/>
            <w:tcMar>
              <w:top w:w="120" w:type="dxa"/>
              <w:bottom w:w="120" w:type="dxa"/>
              <w:left w:w="160" w:type="dxa"/>
              <w:right w:w="160" w:type="dxa"/>
            </w:tcMar>
          </w:tcPr>
          <w:p>
            <w:r>
              <w:rPr>
                <w:color w:val="0F172A"/>
                <w:sz w:val="18"/>
              </w:rPr>
              <w:t>A01: Broken Access Control</w:t>
            </w:r>
          </w:p>
        </w:tc>
        <w:tc>
          <w:tcPr>
            <w:tcW w:type="dxa" w:w="1701"/>
            <w:shd w:fill="FFFFFF"/>
            <w:tcMar>
              <w:top w:w="120" w:type="dxa"/>
              <w:bottom w:w="120" w:type="dxa"/>
              <w:left w:w="160" w:type="dxa"/>
              <w:right w:w="160" w:type="dxa"/>
            </w:tcMar>
          </w:tcPr>
          <w:p>
            <w:r>
              <w:rPr>
                <w:color w:val="0F172A"/>
                <w:sz w:val="18"/>
              </w:rPr>
              <w:t>UITSTEKEND</w:t>
            </w:r>
          </w:p>
        </w:tc>
        <w:tc>
          <w:tcPr>
            <w:tcW w:type="dxa" w:w="5102"/>
            <w:shd w:fill="FFFFFF"/>
            <w:tcMar>
              <w:top w:w="120" w:type="dxa"/>
              <w:bottom w:w="120" w:type="dxa"/>
              <w:left w:w="160" w:type="dxa"/>
              <w:right w:w="160" w:type="dxa"/>
            </w:tcMar>
          </w:tcPr>
          <w:p>
            <w:r>
              <w:rPr>
                <w:color w:val="0F172A"/>
                <w:sz w:val="18"/>
              </w:rPr>
              <w:t>Strikte decorators (@login_required, @writer_required, @admin_required, @platform_admin_required). Elke query filtert op organisatie_id. IDOR-bescherming op alle feedback-, document- en evaluatieroutes.</w:t>
            </w:r>
          </w:p>
        </w:tc>
      </w:tr>
      <w:tr>
        <w:tc>
          <w:tcPr>
            <w:tcW w:type="dxa" w:w="2551"/>
            <w:shd w:fill="F1F5F9"/>
            <w:tcMar>
              <w:top w:w="120" w:type="dxa"/>
              <w:bottom w:w="120" w:type="dxa"/>
              <w:left w:w="160" w:type="dxa"/>
              <w:right w:w="160" w:type="dxa"/>
            </w:tcMar>
          </w:tcPr>
          <w:p>
            <w:r>
              <w:rPr>
                <w:color w:val="0F172A"/>
                <w:sz w:val="18"/>
              </w:rPr>
              <w:t>A02: Cryptographic Failures</w:t>
            </w:r>
          </w:p>
        </w:tc>
        <w:tc>
          <w:tcPr>
            <w:tcW w:type="dxa" w:w="1701"/>
            <w:shd w:fill="F1F5F9"/>
            <w:tcMar>
              <w:top w:w="120" w:type="dxa"/>
              <w:bottom w:w="120" w:type="dxa"/>
              <w:left w:w="160" w:type="dxa"/>
              <w:right w:w="160" w:type="dxa"/>
            </w:tcMar>
          </w:tcPr>
          <w:p>
            <w:r>
              <w:rPr>
                <w:color w:val="0F172A"/>
                <w:sz w:val="18"/>
              </w:rPr>
              <w:t>UITSTEKEND</w:t>
            </w:r>
          </w:p>
        </w:tc>
        <w:tc>
          <w:tcPr>
            <w:tcW w:type="dxa" w:w="5102"/>
            <w:shd w:fill="F1F5F9"/>
            <w:tcMar>
              <w:top w:w="120" w:type="dxa"/>
              <w:bottom w:w="120" w:type="dxa"/>
              <w:left w:w="160" w:type="dxa"/>
              <w:right w:w="160" w:type="dxa"/>
            </w:tcMar>
          </w:tcPr>
          <w:p>
            <w:r>
              <w:rPr>
                <w:color w:val="0F172A"/>
                <w:sz w:val="18"/>
              </w:rPr>
              <w:t>Wachtwoordhashing via Werkzeug Scrypt. Secrets module voor tokens/codes. HTTPS/SSL-strict cookies in productie. Embedded CA cert voor TLS verificatie bij database synchronisatie.</w:t>
            </w:r>
          </w:p>
        </w:tc>
      </w:tr>
      <w:tr>
        <w:tc>
          <w:tcPr>
            <w:tcW w:type="dxa" w:w="2551"/>
            <w:shd w:fill="FFFFFF"/>
            <w:tcMar>
              <w:top w:w="120" w:type="dxa"/>
              <w:bottom w:w="120" w:type="dxa"/>
              <w:left w:w="160" w:type="dxa"/>
              <w:right w:w="160" w:type="dxa"/>
            </w:tcMar>
          </w:tcPr>
          <w:p>
            <w:r>
              <w:rPr>
                <w:color w:val="0F172A"/>
                <w:sz w:val="18"/>
              </w:rPr>
              <w:t>A03: Injection (SQL, XSS, Command)</w:t>
            </w:r>
          </w:p>
        </w:tc>
        <w:tc>
          <w:tcPr>
            <w:tcW w:type="dxa" w:w="1701"/>
            <w:shd w:fill="FFFFFF"/>
            <w:tcMar>
              <w:top w:w="120" w:type="dxa"/>
              <w:bottom w:w="120" w:type="dxa"/>
              <w:left w:w="160" w:type="dxa"/>
              <w:right w:w="160" w:type="dxa"/>
            </w:tcMar>
          </w:tcPr>
          <w:p>
            <w:r>
              <w:rPr>
                <w:color w:val="0F172A"/>
                <w:sz w:val="18"/>
              </w:rPr>
              <w:t>UITSTEKEND</w:t>
            </w:r>
          </w:p>
        </w:tc>
        <w:tc>
          <w:tcPr>
            <w:tcW w:type="dxa" w:w="5102"/>
            <w:shd w:fill="FFFFFF"/>
            <w:tcMar>
              <w:top w:w="120" w:type="dxa"/>
              <w:bottom w:w="120" w:type="dxa"/>
              <w:left w:w="160" w:type="dxa"/>
              <w:right w:w="160" w:type="dxa"/>
            </w:tcMar>
          </w:tcPr>
          <w:p>
            <w:r>
              <w:rPr>
                <w:color w:val="0F172A"/>
                <w:sz w:val="18"/>
              </w:rPr>
              <w:t>100% SQLAlchemy ORM geparametriseerde queries (geen raw SQL strings). Jinja2 autoescaping + html.escape in document renderers. Subprocess aanroepen gebruiken veilige argument-lijsten zonder shell=True.</w:t>
            </w:r>
          </w:p>
        </w:tc>
      </w:tr>
      <w:tr>
        <w:tc>
          <w:tcPr>
            <w:tcW w:type="dxa" w:w="2551"/>
            <w:shd w:fill="F1F5F9"/>
            <w:tcMar>
              <w:top w:w="120" w:type="dxa"/>
              <w:bottom w:w="120" w:type="dxa"/>
              <w:left w:w="160" w:type="dxa"/>
              <w:right w:w="160" w:type="dxa"/>
            </w:tcMar>
          </w:tcPr>
          <w:p>
            <w:r>
              <w:rPr>
                <w:color w:val="0F172A"/>
                <w:sz w:val="18"/>
              </w:rPr>
              <w:t>A04: Insecure Design</w:t>
            </w:r>
          </w:p>
        </w:tc>
        <w:tc>
          <w:tcPr>
            <w:tcW w:type="dxa" w:w="1701"/>
            <w:shd w:fill="F1F5F9"/>
            <w:tcMar>
              <w:top w:w="120" w:type="dxa"/>
              <w:bottom w:w="120" w:type="dxa"/>
              <w:left w:w="160" w:type="dxa"/>
              <w:right w:w="160" w:type="dxa"/>
            </w:tcMar>
          </w:tcPr>
          <w:p>
            <w:r>
              <w:rPr>
                <w:color w:val="0F172A"/>
                <w:sz w:val="18"/>
              </w:rPr>
              <w:t>UITSTEKEND</w:t>
            </w:r>
          </w:p>
        </w:tc>
        <w:tc>
          <w:tcPr>
            <w:tcW w:type="dxa" w:w="5102"/>
            <w:shd w:fill="F1F5F9"/>
            <w:tcMar>
              <w:top w:w="120" w:type="dxa"/>
              <w:bottom w:w="120" w:type="dxa"/>
              <w:left w:w="160" w:type="dxa"/>
              <w:right w:w="160" w:type="dxa"/>
            </w:tcMar>
          </w:tcPr>
          <w:p>
            <w:r>
              <w:rPr>
                <w:color w:val="0F172A"/>
                <w:sz w:val="18"/>
              </w:rPr>
              <w:t>Multi-tenant data-isolatiemodel. GFS backup retentie. Sandboxed iframe voor document preview zonder allow-same-origin. Duidelijke functiescheiding tussen platform- en organisatiebeheerders.</w:t>
            </w:r>
          </w:p>
        </w:tc>
      </w:tr>
      <w:tr>
        <w:tc>
          <w:tcPr>
            <w:tcW w:type="dxa" w:w="2551"/>
            <w:shd w:fill="FFFFFF"/>
            <w:tcMar>
              <w:top w:w="120" w:type="dxa"/>
              <w:bottom w:w="120" w:type="dxa"/>
              <w:left w:w="160" w:type="dxa"/>
              <w:right w:w="160" w:type="dxa"/>
            </w:tcMar>
          </w:tcPr>
          <w:p>
            <w:r>
              <w:rPr>
                <w:color w:val="0F172A"/>
                <w:sz w:val="18"/>
              </w:rPr>
              <w:t>A05: Security Misconfiguration</w:t>
            </w:r>
          </w:p>
        </w:tc>
        <w:tc>
          <w:tcPr>
            <w:tcW w:type="dxa" w:w="1701"/>
            <w:shd w:fill="FFFFFF"/>
            <w:tcMar>
              <w:top w:w="120" w:type="dxa"/>
              <w:bottom w:w="120" w:type="dxa"/>
              <w:left w:w="160" w:type="dxa"/>
              <w:right w:w="160" w:type="dxa"/>
            </w:tcMar>
          </w:tcPr>
          <w:p>
            <w:r>
              <w:rPr>
                <w:color w:val="0F172A"/>
                <w:sz w:val="18"/>
              </w:rPr>
              <w:t>UITSTEKEND</w:t>
            </w:r>
          </w:p>
        </w:tc>
        <w:tc>
          <w:tcPr>
            <w:tcW w:type="dxa" w:w="5102"/>
            <w:shd w:fill="FFFFFF"/>
            <w:tcMar>
              <w:top w:w="120" w:type="dxa"/>
              <w:bottom w:w="120" w:type="dxa"/>
              <w:left w:w="160" w:type="dxa"/>
              <w:right w:w="160" w:type="dxa"/>
            </w:tcMar>
          </w:tcPr>
          <w:p>
            <w:r>
              <w:rPr>
                <w:color w:val="0F172A"/>
                <w:sz w:val="18"/>
              </w:rPr>
              <w:t>Productie-afhankelijke cookie security vlaggen (Secure, HttpOnly, SameSite=Lax, CSRF SSL-strict). Strikte Content-Security-Policy (CSP) en X-Content-Type-Options: nosniff headers.</w:t>
            </w:r>
          </w:p>
        </w:tc>
      </w:tr>
      <w:tr>
        <w:tc>
          <w:tcPr>
            <w:tcW w:type="dxa" w:w="2551"/>
            <w:shd w:fill="F1F5F9"/>
            <w:tcMar>
              <w:top w:w="120" w:type="dxa"/>
              <w:bottom w:w="120" w:type="dxa"/>
              <w:left w:w="160" w:type="dxa"/>
              <w:right w:w="160" w:type="dxa"/>
            </w:tcMar>
          </w:tcPr>
          <w:p>
            <w:r>
              <w:rPr>
                <w:color w:val="0F172A"/>
                <w:sz w:val="18"/>
              </w:rPr>
              <w:t>A06: Vulnerable Components</w:t>
            </w:r>
          </w:p>
        </w:tc>
        <w:tc>
          <w:tcPr>
            <w:tcW w:type="dxa" w:w="1701"/>
            <w:shd w:fill="F1F5F9"/>
            <w:tcMar>
              <w:top w:w="120" w:type="dxa"/>
              <w:bottom w:w="120" w:type="dxa"/>
              <w:left w:w="160" w:type="dxa"/>
              <w:right w:w="160" w:type="dxa"/>
            </w:tcMar>
          </w:tcPr>
          <w:p>
            <w:r>
              <w:rPr>
                <w:color w:val="0F172A"/>
                <w:sz w:val="18"/>
              </w:rPr>
              <w:t>UITSTEKEND</w:t>
            </w:r>
          </w:p>
        </w:tc>
        <w:tc>
          <w:tcPr>
            <w:tcW w:type="dxa" w:w="5102"/>
            <w:shd w:fill="F1F5F9"/>
            <w:tcMar>
              <w:top w:w="120" w:type="dxa"/>
              <w:bottom w:w="120" w:type="dxa"/>
              <w:left w:w="160" w:type="dxa"/>
              <w:right w:w="160" w:type="dxa"/>
            </w:tcMar>
          </w:tcPr>
          <w:p>
            <w:r>
              <w:rPr>
                <w:color w:val="0F172A"/>
                <w:sz w:val="18"/>
              </w:rPr>
              <w:t>Vastgezette versies in requirements.txt (Flask 3.0.3, SQLAlchemy 2.0.x, Werkzeug 3.0.3, openpyxl, pypdf, python-docx). Geautomatiseerde SonarQube SAST controles in CI/CD pipeline.</w:t>
            </w:r>
          </w:p>
        </w:tc>
      </w:tr>
      <w:tr>
        <w:tc>
          <w:tcPr>
            <w:tcW w:type="dxa" w:w="2551"/>
            <w:shd w:fill="FFFFFF"/>
            <w:tcMar>
              <w:top w:w="120" w:type="dxa"/>
              <w:bottom w:w="120" w:type="dxa"/>
              <w:left w:w="160" w:type="dxa"/>
              <w:right w:w="160" w:type="dxa"/>
            </w:tcMar>
          </w:tcPr>
          <w:p>
            <w:r>
              <w:rPr>
                <w:color w:val="0F172A"/>
                <w:sz w:val="18"/>
              </w:rPr>
              <w:t>A07: Identification &amp; Auth Failures</w:t>
            </w:r>
          </w:p>
        </w:tc>
        <w:tc>
          <w:tcPr>
            <w:tcW w:type="dxa" w:w="1701"/>
            <w:shd w:fill="FFFFFF"/>
            <w:tcMar>
              <w:top w:w="120" w:type="dxa"/>
              <w:bottom w:w="120" w:type="dxa"/>
              <w:left w:w="160" w:type="dxa"/>
              <w:right w:w="160" w:type="dxa"/>
            </w:tcMar>
          </w:tcPr>
          <w:p>
            <w:r>
              <w:rPr>
                <w:color w:val="0F172A"/>
                <w:sz w:val="18"/>
              </w:rPr>
              <w:t>UITSTEKEND</w:t>
            </w:r>
          </w:p>
        </w:tc>
        <w:tc>
          <w:tcPr>
            <w:tcW w:type="dxa" w:w="5102"/>
            <w:shd w:fill="FFFFFF"/>
            <w:tcMar>
              <w:top w:w="120" w:type="dxa"/>
              <w:bottom w:w="120" w:type="dxa"/>
              <w:left w:w="160" w:type="dxa"/>
              <w:right w:w="160" w:type="dxa"/>
            </w:tcMar>
          </w:tcPr>
          <w:p>
            <w:r>
              <w:rPr>
                <w:color w:val="0F172A"/>
                <w:sz w:val="18"/>
              </w:rPr>
              <w:t>Flask-Limiter rate limiting op login, wachtwoordherstel en publieke evaluatieformulieren. Account lockout teller na 5 mislukte reset-pogingen. Cryptografisch veilige reset tokens.</w:t>
            </w:r>
          </w:p>
        </w:tc>
      </w:tr>
      <w:tr>
        <w:tc>
          <w:tcPr>
            <w:tcW w:type="dxa" w:w="2551"/>
            <w:shd w:fill="F1F5F9"/>
            <w:tcMar>
              <w:top w:w="120" w:type="dxa"/>
              <w:bottom w:w="120" w:type="dxa"/>
              <w:left w:w="160" w:type="dxa"/>
              <w:right w:w="160" w:type="dxa"/>
            </w:tcMar>
          </w:tcPr>
          <w:p>
            <w:r>
              <w:rPr>
                <w:color w:val="0F172A"/>
                <w:sz w:val="18"/>
              </w:rPr>
              <w:t>A08: Software &amp; Data Integrity</w:t>
            </w:r>
          </w:p>
        </w:tc>
        <w:tc>
          <w:tcPr>
            <w:tcW w:type="dxa" w:w="1701"/>
            <w:shd w:fill="F1F5F9"/>
            <w:tcMar>
              <w:top w:w="120" w:type="dxa"/>
              <w:bottom w:w="120" w:type="dxa"/>
              <w:left w:w="160" w:type="dxa"/>
              <w:right w:w="160" w:type="dxa"/>
            </w:tcMar>
          </w:tcPr>
          <w:p>
            <w:r>
              <w:rPr>
                <w:color w:val="0F172A"/>
                <w:sz w:val="18"/>
              </w:rPr>
              <w:t>UITSTEKEND</w:t>
            </w:r>
          </w:p>
        </w:tc>
        <w:tc>
          <w:tcPr>
            <w:tcW w:type="dxa" w:w="5102"/>
            <w:shd w:fill="F1F5F9"/>
            <w:tcMar>
              <w:top w:w="120" w:type="dxa"/>
              <w:bottom w:w="120" w:type="dxa"/>
              <w:left w:w="160" w:type="dxa"/>
              <w:right w:w="160" w:type="dxa"/>
            </w:tcMar>
          </w:tcPr>
          <w:p>
            <w:r>
              <w:rPr>
                <w:color w:val="0F172A"/>
                <w:sz w:val="18"/>
              </w:rPr>
              <w:t>CSRF protectie op alle POST requests via Flask-WTF. Geautomatiseerde GFS backup rotatie. Strikte sandboxing van dynamisch gegenereerde document previews.</w:t>
            </w:r>
          </w:p>
        </w:tc>
      </w:tr>
      <w:tr>
        <w:tc>
          <w:tcPr>
            <w:tcW w:type="dxa" w:w="2551"/>
            <w:shd w:fill="FFFFFF"/>
            <w:tcMar>
              <w:top w:w="120" w:type="dxa"/>
              <w:bottom w:w="120" w:type="dxa"/>
              <w:left w:w="160" w:type="dxa"/>
              <w:right w:w="160" w:type="dxa"/>
            </w:tcMar>
          </w:tcPr>
          <w:p>
            <w:r>
              <w:rPr>
                <w:color w:val="0F172A"/>
                <w:sz w:val="18"/>
              </w:rPr>
              <w:t>A09: Security Logging &amp; Monitoring</w:t>
            </w:r>
          </w:p>
        </w:tc>
        <w:tc>
          <w:tcPr>
            <w:tcW w:type="dxa" w:w="1701"/>
            <w:shd w:fill="FFFFFF"/>
            <w:tcMar>
              <w:top w:w="120" w:type="dxa"/>
              <w:bottom w:w="120" w:type="dxa"/>
              <w:left w:w="160" w:type="dxa"/>
              <w:right w:w="160" w:type="dxa"/>
            </w:tcMar>
          </w:tcPr>
          <w:p>
            <w:r>
              <w:rPr>
                <w:color w:val="0F172A"/>
                <w:sz w:val="18"/>
              </w:rPr>
              <w:t>UITSTEKEND</w:t>
            </w:r>
          </w:p>
        </w:tc>
        <w:tc>
          <w:tcPr>
            <w:tcW w:type="dxa" w:w="5102"/>
            <w:shd w:fill="FFFFFF"/>
            <w:tcMar>
              <w:top w:w="120" w:type="dxa"/>
              <w:bottom w:w="120" w:type="dxa"/>
              <w:left w:w="160" w:type="dxa"/>
              <w:right w:w="160" w:type="dxa"/>
            </w:tcMar>
          </w:tcPr>
          <w:p>
            <w:r>
              <w:rPr>
                <w:color w:val="0F172A"/>
                <w:sz w:val="18"/>
              </w:rPr>
              <w:t>Gestructureerde logging naar roterende logbestanden en console. Database audit logging op gevoelige mutaties en beheersacties.</w:t>
            </w:r>
          </w:p>
        </w:tc>
      </w:tr>
      <w:tr>
        <w:tc>
          <w:tcPr>
            <w:tcW w:type="dxa" w:w="2551"/>
            <w:shd w:fill="F1F5F9"/>
            <w:tcMar>
              <w:top w:w="120" w:type="dxa"/>
              <w:bottom w:w="120" w:type="dxa"/>
              <w:left w:w="160" w:type="dxa"/>
              <w:right w:w="160" w:type="dxa"/>
            </w:tcMar>
          </w:tcPr>
          <w:p>
            <w:r>
              <w:rPr>
                <w:color w:val="0F172A"/>
                <w:sz w:val="18"/>
              </w:rPr>
              <w:t>A10: Server-Side Request Forgery (SSRF)</w:t>
            </w:r>
          </w:p>
        </w:tc>
        <w:tc>
          <w:tcPr>
            <w:tcW w:type="dxa" w:w="1701"/>
            <w:shd w:fill="F1F5F9"/>
            <w:tcMar>
              <w:top w:w="120" w:type="dxa"/>
              <w:bottom w:w="120" w:type="dxa"/>
              <w:left w:w="160" w:type="dxa"/>
              <w:right w:w="160" w:type="dxa"/>
            </w:tcMar>
          </w:tcPr>
          <w:p>
            <w:r>
              <w:rPr>
                <w:color w:val="0F172A"/>
                <w:sz w:val="18"/>
              </w:rPr>
              <w:t>UITSTEKEND</w:t>
            </w:r>
          </w:p>
        </w:tc>
        <w:tc>
          <w:tcPr>
            <w:tcW w:type="dxa" w:w="5102"/>
            <w:shd w:fill="F1F5F9"/>
            <w:tcMar>
              <w:top w:w="120" w:type="dxa"/>
              <w:bottom w:w="120" w:type="dxa"/>
              <w:left w:w="160" w:type="dxa"/>
              <w:right w:w="160" w:type="dxa"/>
            </w:tcMar>
          </w:tcPr>
          <w:p>
            <w:r>
              <w:rPr>
                <w:color w:val="0F172A"/>
                <w:sz w:val="18"/>
              </w:rPr>
              <w:t>Geen ongeauthenticeerde externe netwerkaanroepen op basis van gebruikersinvoer. AI-classificatie en e-mailverzending communiceren uitsluitend met geconfigureerde veilige endpoints.</w:t>
            </w:r>
          </w:p>
        </w:tc>
      </w:tr>
    </w:tbl>
    <w:p>
      <w:pPr>
        <w:spacing w:after="120"/>
      </w:pPr>
    </w:p>
    <w:p>
      <w:r>
        <w:br w:type="page"/>
      </w:r>
    </w:p>
    <w:p>
      <w:pPr>
        <w:keepNext/>
        <w:spacing w:before="360" w:after="160"/>
      </w:pPr>
      <w:r>
        <w:rPr>
          <w:b/>
          <w:color w:val="1E3A8A"/>
          <w:sz w:val="32"/>
        </w:rPr>
        <w:t>5. Register van Beveiligingsbevindingen</w:t>
      </w:r>
    </w:p>
    <w:p>
      <w:pPr>
        <w:spacing w:before="0" w:after="120" w:line="276" w:lineRule="auto"/>
      </w:pPr>
      <w:r>
        <w:rPr>
          <w:i w:val="0"/>
          <w:color w:val="0F172A"/>
          <w:sz w:val="20"/>
        </w:rPr>
        <w:t>Onderstaand register toont de status van alle historische en recent getoetste beveiligingspunten. Alle punten zijn structureel geverifieerd in de broncode en afgedekt met geautomatiseerde unittests.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1881"/>
        <w:gridCol w:w="1881"/>
        <w:gridCol w:w="1881"/>
        <w:gridCol w:w="1881"/>
        <w:gridCol w:w="1881"/>
      </w:tblGrid>
      <w:tr>
        <w:tc>
          <w:tcPr>
            <w:tcW w:type="dxa" w:w="1134"/>
            <w:shd w:fill="1E3A8A"/>
            <w:tcMar>
              <w:top w:w="160" w:type="dxa"/>
              <w:bottom w:w="160" w:type="dxa"/>
              <w:left w:w="180" w:type="dxa"/>
              <w:right w:w="180" w:type="dxa"/>
            </w:tcMar>
          </w:tcPr>
          <w:p>
            <w:pPr>
              <w:jc w:val="left"/>
            </w:pPr>
            <w:r>
              <w:rPr>
                <w:b/>
                <w:color w:val="FFFFFF"/>
                <w:sz w:val="19"/>
              </w:rPr>
              <w:t>ID</w:t>
            </w:r>
          </w:p>
        </w:tc>
        <w:tc>
          <w:tcPr>
            <w:tcW w:type="dxa" w:w="3118"/>
            <w:shd w:fill="1E3A8A"/>
            <w:tcMar>
              <w:top w:w="160" w:type="dxa"/>
              <w:bottom w:w="160" w:type="dxa"/>
              <w:left w:w="180" w:type="dxa"/>
              <w:right w:w="180" w:type="dxa"/>
            </w:tcMar>
          </w:tcPr>
          <w:p>
            <w:pPr>
              <w:jc w:val="left"/>
            </w:pPr>
            <w:r>
              <w:rPr>
                <w:b/>
                <w:color w:val="FFFFFF"/>
                <w:sz w:val="19"/>
              </w:rPr>
              <w:t>Omschrijving</w:t>
            </w:r>
          </w:p>
        </w:tc>
        <w:tc>
          <w:tcPr>
            <w:tcW w:type="dxa" w:w="1814"/>
            <w:shd w:fill="1E3A8A"/>
            <w:tcMar>
              <w:top w:w="160" w:type="dxa"/>
              <w:bottom w:w="160" w:type="dxa"/>
              <w:left w:w="180" w:type="dxa"/>
              <w:right w:w="180" w:type="dxa"/>
            </w:tcMar>
          </w:tcPr>
          <w:p>
            <w:pPr>
              <w:jc w:val="left"/>
            </w:pPr>
            <w:r>
              <w:rPr>
                <w:b/>
                <w:color w:val="FFFFFF"/>
                <w:sz w:val="19"/>
              </w:rPr>
              <w:t>Categorie</w:t>
            </w:r>
          </w:p>
        </w:tc>
        <w:tc>
          <w:tcPr>
            <w:tcW w:type="dxa" w:w="1417"/>
            <w:shd w:fill="1E3A8A"/>
            <w:tcMar>
              <w:top w:w="160" w:type="dxa"/>
              <w:bottom w:w="160" w:type="dxa"/>
              <w:left w:w="180" w:type="dxa"/>
              <w:right w:w="180" w:type="dxa"/>
            </w:tcMar>
          </w:tcPr>
          <w:p>
            <w:pPr>
              <w:jc w:val="left"/>
            </w:pPr>
            <w:r>
              <w:rPr>
                <w:b/>
                <w:color w:val="FFFFFF"/>
                <w:sz w:val="19"/>
              </w:rPr>
              <w:t>Ernst</w:t>
            </w:r>
          </w:p>
        </w:tc>
        <w:tc>
          <w:tcPr>
            <w:tcW w:type="dxa" w:w="1871"/>
            <w:shd w:fill="1E3A8A"/>
            <w:tcMar>
              <w:top w:w="160" w:type="dxa"/>
              <w:bottom w:w="160" w:type="dxa"/>
              <w:left w:w="180" w:type="dxa"/>
              <w:right w:w="180" w:type="dxa"/>
            </w:tcMar>
          </w:tcPr>
          <w:p>
            <w:pPr>
              <w:jc w:val="left"/>
            </w:pPr>
            <w:r>
              <w:rPr>
                <w:b/>
                <w:color w:val="FFFFFF"/>
                <w:sz w:val="19"/>
              </w:rPr>
              <w:t>Status</w:t>
            </w:r>
          </w:p>
        </w:tc>
      </w:tr>
      <w:tr>
        <w:tc>
          <w:tcPr>
            <w:tcW w:type="dxa" w:w="1134"/>
            <w:shd w:fill="FFFFFF"/>
            <w:tcMar>
              <w:top w:w="120" w:type="dxa"/>
              <w:bottom w:w="120" w:type="dxa"/>
              <w:left w:w="160" w:type="dxa"/>
              <w:right w:w="160" w:type="dxa"/>
            </w:tcMar>
          </w:tcPr>
          <w:p>
            <w:r>
              <w:rPr>
                <w:color w:val="0F172A"/>
                <w:sz w:val="18"/>
              </w:rPr>
              <w:t>SEC-01</w:t>
            </w:r>
          </w:p>
        </w:tc>
        <w:tc>
          <w:tcPr>
            <w:tcW w:type="dxa" w:w="3118"/>
            <w:shd w:fill="FFFFFF"/>
            <w:tcMar>
              <w:top w:w="120" w:type="dxa"/>
              <w:bottom w:w="120" w:type="dxa"/>
              <w:left w:w="160" w:type="dxa"/>
              <w:right w:w="160" w:type="dxa"/>
            </w:tcMar>
          </w:tcPr>
          <w:p>
            <w:r>
              <w:rPr>
                <w:color w:val="0F172A"/>
                <w:sz w:val="18"/>
              </w:rPr>
              <w:t>Admin Opschoonactie Multi-Tenant Lek</w:t>
            </w:r>
          </w:p>
        </w:tc>
        <w:tc>
          <w:tcPr>
            <w:tcW w:type="dxa" w:w="1814"/>
            <w:shd w:fill="FFFFFF"/>
            <w:tcMar>
              <w:top w:w="120" w:type="dxa"/>
              <w:bottom w:w="120" w:type="dxa"/>
              <w:left w:w="160" w:type="dxa"/>
              <w:right w:w="160" w:type="dxa"/>
            </w:tcMar>
          </w:tcPr>
          <w:p>
            <w:r>
              <w:rPr>
                <w:color w:val="0F172A"/>
                <w:sz w:val="18"/>
              </w:rPr>
              <w:t>Multi-Tenancy</w:t>
            </w:r>
          </w:p>
        </w:tc>
        <w:tc>
          <w:tcPr>
            <w:tcW w:type="dxa" w:w="1417"/>
            <w:shd w:fill="FFFFFF"/>
            <w:tcMar>
              <w:top w:w="120" w:type="dxa"/>
              <w:bottom w:w="120" w:type="dxa"/>
              <w:left w:w="160" w:type="dxa"/>
              <w:right w:w="160" w:type="dxa"/>
            </w:tcMar>
          </w:tcPr>
          <w:p>
            <w:r>
              <w:rPr>
                <w:color w:val="0F172A"/>
                <w:sz w:val="18"/>
              </w:rPr>
              <w:t>Hoog</w:t>
            </w:r>
          </w:p>
        </w:tc>
        <w:tc>
          <w:tcPr>
            <w:tcW w:type="dxa" w:w="1871"/>
            <w:shd w:fill="FFFFFF"/>
            <w:tcMar>
              <w:top w:w="120" w:type="dxa"/>
              <w:bottom w:w="120" w:type="dxa"/>
              <w:left w:w="160" w:type="dxa"/>
              <w:right w:w="160" w:type="dxa"/>
            </w:tcMar>
          </w:tcPr>
          <w:p>
            <w:r>
              <w:rPr>
                <w:color w:val="0F172A"/>
                <w:sz w:val="18"/>
              </w:rPr>
              <w:t>OPGELOST</w:t>
            </w:r>
          </w:p>
        </w:tc>
      </w:tr>
      <w:tr>
        <w:tc>
          <w:tcPr>
            <w:tcW w:type="dxa" w:w="1134"/>
            <w:shd w:fill="F1F5F9"/>
            <w:tcMar>
              <w:top w:w="120" w:type="dxa"/>
              <w:bottom w:w="120" w:type="dxa"/>
              <w:left w:w="160" w:type="dxa"/>
              <w:right w:w="160" w:type="dxa"/>
            </w:tcMar>
          </w:tcPr>
          <w:p>
            <w:r>
              <w:rPr>
                <w:color w:val="0F172A"/>
                <w:sz w:val="18"/>
              </w:rPr>
              <w:t>SEC-02</w:t>
            </w:r>
          </w:p>
        </w:tc>
        <w:tc>
          <w:tcPr>
            <w:tcW w:type="dxa" w:w="3118"/>
            <w:shd w:fill="F1F5F9"/>
            <w:tcMar>
              <w:top w:w="120" w:type="dxa"/>
              <w:bottom w:w="120" w:type="dxa"/>
              <w:left w:w="160" w:type="dxa"/>
              <w:right w:w="160" w:type="dxa"/>
            </w:tcMar>
          </w:tcPr>
          <w:p>
            <w:r>
              <w:rPr>
                <w:color w:val="0F172A"/>
                <w:sz w:val="18"/>
              </w:rPr>
              <w:t>Stored XSS via Document Preview</w:t>
            </w:r>
          </w:p>
        </w:tc>
        <w:tc>
          <w:tcPr>
            <w:tcW w:type="dxa" w:w="1814"/>
            <w:shd w:fill="F1F5F9"/>
            <w:tcMar>
              <w:top w:w="120" w:type="dxa"/>
              <w:bottom w:w="120" w:type="dxa"/>
              <w:left w:w="160" w:type="dxa"/>
              <w:right w:w="160" w:type="dxa"/>
            </w:tcMar>
          </w:tcPr>
          <w:p>
            <w:r>
              <w:rPr>
                <w:color w:val="0F172A"/>
                <w:sz w:val="18"/>
              </w:rPr>
              <w:t>Injection / XSS</w:t>
            </w:r>
          </w:p>
        </w:tc>
        <w:tc>
          <w:tcPr>
            <w:tcW w:type="dxa" w:w="1417"/>
            <w:shd w:fill="F1F5F9"/>
            <w:tcMar>
              <w:top w:w="120" w:type="dxa"/>
              <w:bottom w:w="120" w:type="dxa"/>
              <w:left w:w="160" w:type="dxa"/>
              <w:right w:w="160" w:type="dxa"/>
            </w:tcMar>
          </w:tcPr>
          <w:p>
            <w:r>
              <w:rPr>
                <w:color w:val="0F172A"/>
                <w:sz w:val="18"/>
              </w:rPr>
              <w:t>Hoog</w:t>
            </w:r>
          </w:p>
        </w:tc>
        <w:tc>
          <w:tcPr>
            <w:tcW w:type="dxa" w:w="1871"/>
            <w:shd w:fill="F1F5F9"/>
            <w:tcMar>
              <w:top w:w="120" w:type="dxa"/>
              <w:bottom w:w="120" w:type="dxa"/>
              <w:left w:w="160" w:type="dxa"/>
              <w:right w:w="160" w:type="dxa"/>
            </w:tcMar>
          </w:tcPr>
          <w:p>
            <w:r>
              <w:rPr>
                <w:color w:val="0F172A"/>
                <w:sz w:val="18"/>
              </w:rPr>
              <w:t>OPGELOST</w:t>
            </w:r>
          </w:p>
        </w:tc>
      </w:tr>
      <w:tr>
        <w:tc>
          <w:tcPr>
            <w:tcW w:type="dxa" w:w="1134"/>
            <w:shd w:fill="FFFFFF"/>
            <w:tcMar>
              <w:top w:w="120" w:type="dxa"/>
              <w:bottom w:w="120" w:type="dxa"/>
              <w:left w:w="160" w:type="dxa"/>
              <w:right w:w="160" w:type="dxa"/>
            </w:tcMar>
          </w:tcPr>
          <w:p>
            <w:r>
              <w:rPr>
                <w:color w:val="0F172A"/>
                <w:sz w:val="18"/>
              </w:rPr>
              <w:t>SEC-03</w:t>
            </w:r>
          </w:p>
        </w:tc>
        <w:tc>
          <w:tcPr>
            <w:tcW w:type="dxa" w:w="3118"/>
            <w:shd w:fill="FFFFFF"/>
            <w:tcMar>
              <w:top w:w="120" w:type="dxa"/>
              <w:bottom w:w="120" w:type="dxa"/>
              <w:left w:w="160" w:type="dxa"/>
              <w:right w:w="160" w:type="dxa"/>
            </w:tcMar>
          </w:tcPr>
          <w:p>
            <w:r>
              <w:rPr>
                <w:color w:val="0F172A"/>
                <w:sz w:val="18"/>
              </w:rPr>
              <w:t>Onveilige Random Code Generatie &amp; Lockout</w:t>
            </w:r>
          </w:p>
        </w:tc>
        <w:tc>
          <w:tcPr>
            <w:tcW w:type="dxa" w:w="1814"/>
            <w:shd w:fill="FFFFFF"/>
            <w:tcMar>
              <w:top w:w="120" w:type="dxa"/>
              <w:bottom w:w="120" w:type="dxa"/>
              <w:left w:w="160" w:type="dxa"/>
              <w:right w:w="160" w:type="dxa"/>
            </w:tcMar>
          </w:tcPr>
          <w:p>
            <w:r>
              <w:rPr>
                <w:color w:val="0F172A"/>
                <w:sz w:val="18"/>
              </w:rPr>
              <w:t>Authenticatie</w:t>
            </w:r>
          </w:p>
        </w:tc>
        <w:tc>
          <w:tcPr>
            <w:tcW w:type="dxa" w:w="1417"/>
            <w:shd w:fill="FFFFFF"/>
            <w:tcMar>
              <w:top w:w="120" w:type="dxa"/>
              <w:bottom w:w="120" w:type="dxa"/>
              <w:left w:w="160" w:type="dxa"/>
              <w:right w:w="160" w:type="dxa"/>
            </w:tcMar>
          </w:tcPr>
          <w:p>
            <w:r>
              <w:rPr>
                <w:color w:val="0F172A"/>
                <w:sz w:val="18"/>
              </w:rPr>
              <w:t>Medium</w:t>
            </w:r>
          </w:p>
        </w:tc>
        <w:tc>
          <w:tcPr>
            <w:tcW w:type="dxa" w:w="1871"/>
            <w:shd w:fill="FFFFFF"/>
            <w:tcMar>
              <w:top w:w="120" w:type="dxa"/>
              <w:bottom w:w="120" w:type="dxa"/>
              <w:left w:w="160" w:type="dxa"/>
              <w:right w:w="160" w:type="dxa"/>
            </w:tcMar>
          </w:tcPr>
          <w:p>
            <w:r>
              <w:rPr>
                <w:color w:val="0F172A"/>
                <w:sz w:val="18"/>
              </w:rPr>
              <w:t>OPGELOST</w:t>
            </w:r>
          </w:p>
        </w:tc>
      </w:tr>
      <w:tr>
        <w:tc>
          <w:tcPr>
            <w:tcW w:type="dxa" w:w="1134"/>
            <w:shd w:fill="F1F5F9"/>
            <w:tcMar>
              <w:top w:w="120" w:type="dxa"/>
              <w:bottom w:w="120" w:type="dxa"/>
              <w:left w:w="160" w:type="dxa"/>
              <w:right w:w="160" w:type="dxa"/>
            </w:tcMar>
          </w:tcPr>
          <w:p>
            <w:r>
              <w:rPr>
                <w:color w:val="0F172A"/>
                <w:sz w:val="18"/>
              </w:rPr>
              <w:t>SEC-04</w:t>
            </w:r>
          </w:p>
        </w:tc>
        <w:tc>
          <w:tcPr>
            <w:tcW w:type="dxa" w:w="3118"/>
            <w:shd w:fill="F1F5F9"/>
            <w:tcMar>
              <w:top w:w="120" w:type="dxa"/>
              <w:bottom w:w="120" w:type="dxa"/>
              <w:left w:w="160" w:type="dxa"/>
              <w:right w:w="160" w:type="dxa"/>
            </w:tcMar>
          </w:tcPr>
          <w:p>
            <w:r>
              <w:rPr>
                <w:color w:val="0F172A"/>
                <w:sz w:val="18"/>
              </w:rPr>
              <w:t>Ontbrekende CSRF Secure Cookie Attributes</w:t>
            </w:r>
          </w:p>
        </w:tc>
        <w:tc>
          <w:tcPr>
            <w:tcW w:type="dxa" w:w="1814"/>
            <w:shd w:fill="F1F5F9"/>
            <w:tcMar>
              <w:top w:w="120" w:type="dxa"/>
              <w:bottom w:w="120" w:type="dxa"/>
              <w:left w:w="160" w:type="dxa"/>
              <w:right w:w="160" w:type="dxa"/>
            </w:tcMar>
          </w:tcPr>
          <w:p>
            <w:r>
              <w:rPr>
                <w:color w:val="0F172A"/>
                <w:sz w:val="18"/>
              </w:rPr>
              <w:t>Configuratie</w:t>
            </w:r>
          </w:p>
        </w:tc>
        <w:tc>
          <w:tcPr>
            <w:tcW w:type="dxa" w:w="1417"/>
            <w:shd w:fill="F1F5F9"/>
            <w:tcMar>
              <w:top w:w="120" w:type="dxa"/>
              <w:bottom w:w="120" w:type="dxa"/>
              <w:left w:w="160" w:type="dxa"/>
              <w:right w:w="160" w:type="dxa"/>
            </w:tcMar>
          </w:tcPr>
          <w:p>
            <w:r>
              <w:rPr>
                <w:color w:val="0F172A"/>
                <w:sz w:val="18"/>
              </w:rPr>
              <w:t>Laag</w:t>
            </w:r>
          </w:p>
        </w:tc>
        <w:tc>
          <w:tcPr>
            <w:tcW w:type="dxa" w:w="1871"/>
            <w:shd w:fill="F1F5F9"/>
            <w:tcMar>
              <w:top w:w="120" w:type="dxa"/>
              <w:bottom w:w="120" w:type="dxa"/>
              <w:left w:w="160" w:type="dxa"/>
              <w:right w:w="160" w:type="dxa"/>
            </w:tcMar>
          </w:tcPr>
          <w:p>
            <w:r>
              <w:rPr>
                <w:color w:val="0F172A"/>
                <w:sz w:val="18"/>
              </w:rPr>
              <w:t>OPGELOST</w:t>
            </w:r>
          </w:p>
        </w:tc>
      </w:tr>
      <w:tr>
        <w:tc>
          <w:tcPr>
            <w:tcW w:type="dxa" w:w="1134"/>
            <w:shd w:fill="FFFFFF"/>
            <w:tcMar>
              <w:top w:w="120" w:type="dxa"/>
              <w:bottom w:w="120" w:type="dxa"/>
              <w:left w:w="160" w:type="dxa"/>
              <w:right w:w="160" w:type="dxa"/>
            </w:tcMar>
          </w:tcPr>
          <w:p>
            <w:r>
              <w:rPr>
                <w:color w:val="0F172A"/>
                <w:sz w:val="18"/>
              </w:rPr>
              <w:t>SEC-05</w:t>
            </w:r>
          </w:p>
        </w:tc>
        <w:tc>
          <w:tcPr>
            <w:tcW w:type="dxa" w:w="3118"/>
            <w:shd w:fill="FFFFFF"/>
            <w:tcMar>
              <w:top w:w="120" w:type="dxa"/>
              <w:bottom w:w="120" w:type="dxa"/>
              <w:left w:w="160" w:type="dxa"/>
              <w:right w:w="160" w:type="dxa"/>
            </w:tcMar>
          </w:tcPr>
          <w:p>
            <w:r>
              <w:rPr>
                <w:color w:val="0F172A"/>
                <w:sz w:val="18"/>
              </w:rPr>
              <w:t>Ongeautoriseerd Test-Mail Endpoint</w:t>
            </w:r>
          </w:p>
        </w:tc>
        <w:tc>
          <w:tcPr>
            <w:tcW w:type="dxa" w:w="1814"/>
            <w:shd w:fill="FFFFFF"/>
            <w:tcMar>
              <w:top w:w="120" w:type="dxa"/>
              <w:bottom w:w="120" w:type="dxa"/>
              <w:left w:w="160" w:type="dxa"/>
              <w:right w:w="160" w:type="dxa"/>
            </w:tcMar>
          </w:tcPr>
          <w:p>
            <w:r>
              <w:rPr>
                <w:color w:val="0F172A"/>
                <w:sz w:val="18"/>
              </w:rPr>
              <w:t>Toegangscontrole</w:t>
            </w:r>
          </w:p>
        </w:tc>
        <w:tc>
          <w:tcPr>
            <w:tcW w:type="dxa" w:w="1417"/>
            <w:shd w:fill="FFFFFF"/>
            <w:tcMar>
              <w:top w:w="120" w:type="dxa"/>
              <w:bottom w:w="120" w:type="dxa"/>
              <w:left w:w="160" w:type="dxa"/>
              <w:right w:w="160" w:type="dxa"/>
            </w:tcMar>
          </w:tcPr>
          <w:p>
            <w:r>
              <w:rPr>
                <w:color w:val="0F172A"/>
                <w:sz w:val="18"/>
              </w:rPr>
              <w:t>Hoog</w:t>
            </w:r>
          </w:p>
        </w:tc>
        <w:tc>
          <w:tcPr>
            <w:tcW w:type="dxa" w:w="1871"/>
            <w:shd w:fill="FFFFFF"/>
            <w:tcMar>
              <w:top w:w="120" w:type="dxa"/>
              <w:bottom w:w="120" w:type="dxa"/>
              <w:left w:w="160" w:type="dxa"/>
              <w:right w:w="160" w:type="dxa"/>
            </w:tcMar>
          </w:tcPr>
          <w:p>
            <w:r>
              <w:rPr>
                <w:color w:val="0F172A"/>
                <w:sz w:val="18"/>
              </w:rPr>
              <w:t>OPGELOST</w:t>
            </w:r>
          </w:p>
        </w:tc>
      </w:tr>
      <w:tr>
        <w:tc>
          <w:tcPr>
            <w:tcW w:type="dxa" w:w="1134"/>
            <w:shd w:fill="F1F5F9"/>
            <w:tcMar>
              <w:top w:w="120" w:type="dxa"/>
              <w:bottom w:w="120" w:type="dxa"/>
              <w:left w:w="160" w:type="dxa"/>
              <w:right w:w="160" w:type="dxa"/>
            </w:tcMar>
          </w:tcPr>
          <w:p>
            <w:r>
              <w:rPr>
                <w:color w:val="0F172A"/>
                <w:sz w:val="18"/>
              </w:rPr>
              <w:t>SEC-06</w:t>
            </w:r>
          </w:p>
        </w:tc>
        <w:tc>
          <w:tcPr>
            <w:tcW w:type="dxa" w:w="3118"/>
            <w:shd w:fill="F1F5F9"/>
            <w:tcMar>
              <w:top w:w="120" w:type="dxa"/>
              <w:bottom w:w="120" w:type="dxa"/>
              <w:left w:w="160" w:type="dxa"/>
              <w:right w:w="160" w:type="dxa"/>
            </w:tcMar>
          </w:tcPr>
          <w:p>
            <w:r>
              <w:rPr>
                <w:color w:val="0F172A"/>
                <w:sz w:val="18"/>
              </w:rPr>
              <w:t>Stored XSS &amp; MIME-Sniffing Feedback Screenshots</w:t>
            </w:r>
          </w:p>
        </w:tc>
        <w:tc>
          <w:tcPr>
            <w:tcW w:type="dxa" w:w="1814"/>
            <w:shd w:fill="F1F5F9"/>
            <w:tcMar>
              <w:top w:w="120" w:type="dxa"/>
              <w:bottom w:w="120" w:type="dxa"/>
              <w:left w:w="160" w:type="dxa"/>
              <w:right w:w="160" w:type="dxa"/>
            </w:tcMar>
          </w:tcPr>
          <w:p>
            <w:r>
              <w:rPr>
                <w:color w:val="0F172A"/>
                <w:sz w:val="18"/>
              </w:rPr>
              <w:t>XSS / Upload</w:t>
            </w:r>
          </w:p>
        </w:tc>
        <w:tc>
          <w:tcPr>
            <w:tcW w:type="dxa" w:w="1417"/>
            <w:shd w:fill="F1F5F9"/>
            <w:tcMar>
              <w:top w:w="120" w:type="dxa"/>
              <w:bottom w:w="120" w:type="dxa"/>
              <w:left w:w="160" w:type="dxa"/>
              <w:right w:w="160" w:type="dxa"/>
            </w:tcMar>
          </w:tcPr>
          <w:p>
            <w:r>
              <w:rPr>
                <w:color w:val="0F172A"/>
                <w:sz w:val="18"/>
              </w:rPr>
              <w:t>Medium</w:t>
            </w:r>
          </w:p>
        </w:tc>
        <w:tc>
          <w:tcPr>
            <w:tcW w:type="dxa" w:w="1871"/>
            <w:shd w:fill="F1F5F9"/>
            <w:tcMar>
              <w:top w:w="120" w:type="dxa"/>
              <w:bottom w:w="120" w:type="dxa"/>
              <w:left w:w="160" w:type="dxa"/>
              <w:right w:w="160" w:type="dxa"/>
            </w:tcMar>
          </w:tcPr>
          <w:p>
            <w:r>
              <w:rPr>
                <w:color w:val="0F172A"/>
                <w:sz w:val="18"/>
              </w:rPr>
              <w:t>OPGELOST</w:t>
            </w:r>
          </w:p>
        </w:tc>
      </w:tr>
      <w:tr>
        <w:tc>
          <w:tcPr>
            <w:tcW w:type="dxa" w:w="1134"/>
            <w:shd w:fill="FFFFFF"/>
            <w:tcMar>
              <w:top w:w="120" w:type="dxa"/>
              <w:bottom w:w="120" w:type="dxa"/>
              <w:left w:w="160" w:type="dxa"/>
              <w:right w:w="160" w:type="dxa"/>
            </w:tcMar>
          </w:tcPr>
          <w:p>
            <w:r>
              <w:rPr>
                <w:color w:val="0F172A"/>
                <w:sz w:val="18"/>
              </w:rPr>
              <w:t>SEC-07</w:t>
            </w:r>
          </w:p>
        </w:tc>
        <w:tc>
          <w:tcPr>
            <w:tcW w:type="dxa" w:w="3118"/>
            <w:shd w:fill="FFFFFF"/>
            <w:tcMar>
              <w:top w:w="120" w:type="dxa"/>
              <w:bottom w:w="120" w:type="dxa"/>
              <w:left w:w="160" w:type="dxa"/>
              <w:right w:w="160" w:type="dxa"/>
            </w:tcMar>
          </w:tcPr>
          <w:p>
            <w:r>
              <w:rPr>
                <w:color w:val="0F172A"/>
                <w:sz w:val="18"/>
              </w:rPr>
              <w:t>IDOR / Multi-Tenant Lek Feedback Acties</w:t>
            </w:r>
          </w:p>
        </w:tc>
        <w:tc>
          <w:tcPr>
            <w:tcW w:type="dxa" w:w="1814"/>
            <w:shd w:fill="FFFFFF"/>
            <w:tcMar>
              <w:top w:w="120" w:type="dxa"/>
              <w:bottom w:w="120" w:type="dxa"/>
              <w:left w:w="160" w:type="dxa"/>
              <w:right w:w="160" w:type="dxa"/>
            </w:tcMar>
          </w:tcPr>
          <w:p>
            <w:r>
              <w:rPr>
                <w:color w:val="0F172A"/>
                <w:sz w:val="18"/>
              </w:rPr>
              <w:t>Toegangscontrole</w:t>
            </w:r>
          </w:p>
        </w:tc>
        <w:tc>
          <w:tcPr>
            <w:tcW w:type="dxa" w:w="1417"/>
            <w:shd w:fill="FFFFFF"/>
            <w:tcMar>
              <w:top w:w="120" w:type="dxa"/>
              <w:bottom w:w="120" w:type="dxa"/>
              <w:left w:w="160" w:type="dxa"/>
              <w:right w:w="160" w:type="dxa"/>
            </w:tcMar>
          </w:tcPr>
          <w:p>
            <w:r>
              <w:rPr>
                <w:color w:val="0F172A"/>
                <w:sz w:val="18"/>
              </w:rPr>
              <w:t>Hoog</w:t>
            </w:r>
          </w:p>
        </w:tc>
        <w:tc>
          <w:tcPr>
            <w:tcW w:type="dxa" w:w="1871"/>
            <w:shd w:fill="FFFFFF"/>
            <w:tcMar>
              <w:top w:w="120" w:type="dxa"/>
              <w:bottom w:w="120" w:type="dxa"/>
              <w:left w:w="160" w:type="dxa"/>
              <w:right w:w="160" w:type="dxa"/>
            </w:tcMar>
          </w:tcPr>
          <w:p>
            <w:r>
              <w:rPr>
                <w:color w:val="0F172A"/>
                <w:sz w:val="18"/>
              </w:rPr>
              <w:t>OPGELOST</w:t>
            </w:r>
          </w:p>
        </w:tc>
      </w:tr>
      <w:tr>
        <w:tc>
          <w:tcPr>
            <w:tcW w:type="dxa" w:w="1134"/>
            <w:shd w:fill="F1F5F9"/>
            <w:tcMar>
              <w:top w:w="120" w:type="dxa"/>
              <w:bottom w:w="120" w:type="dxa"/>
              <w:left w:w="160" w:type="dxa"/>
              <w:right w:w="160" w:type="dxa"/>
            </w:tcMar>
          </w:tcPr>
          <w:p>
            <w:r>
              <w:rPr>
                <w:color w:val="0F172A"/>
                <w:sz w:val="18"/>
              </w:rPr>
              <w:t>SEC-08</w:t>
            </w:r>
          </w:p>
        </w:tc>
        <w:tc>
          <w:tcPr>
            <w:tcW w:type="dxa" w:w="3118"/>
            <w:shd w:fill="F1F5F9"/>
            <w:tcMar>
              <w:top w:w="120" w:type="dxa"/>
              <w:bottom w:w="120" w:type="dxa"/>
              <w:left w:w="160" w:type="dxa"/>
              <w:right w:w="160" w:type="dxa"/>
            </w:tcMar>
          </w:tcPr>
          <w:p>
            <w:r>
              <w:rPr>
                <w:color w:val="0F172A"/>
                <w:sz w:val="18"/>
              </w:rPr>
              <w:t>Ontbrekende Cascade Deletion van Feedback</w:t>
            </w:r>
          </w:p>
        </w:tc>
        <w:tc>
          <w:tcPr>
            <w:tcW w:type="dxa" w:w="1814"/>
            <w:shd w:fill="F1F5F9"/>
            <w:tcMar>
              <w:top w:w="120" w:type="dxa"/>
              <w:bottom w:w="120" w:type="dxa"/>
              <w:left w:w="160" w:type="dxa"/>
              <w:right w:w="160" w:type="dxa"/>
            </w:tcMar>
          </w:tcPr>
          <w:p>
            <w:r>
              <w:rPr>
                <w:color w:val="0F172A"/>
                <w:sz w:val="18"/>
              </w:rPr>
              <w:t>Data-Integriteit</w:t>
            </w:r>
          </w:p>
        </w:tc>
        <w:tc>
          <w:tcPr>
            <w:tcW w:type="dxa" w:w="1417"/>
            <w:shd w:fill="F1F5F9"/>
            <w:tcMar>
              <w:top w:w="120" w:type="dxa"/>
              <w:bottom w:w="120" w:type="dxa"/>
              <w:left w:w="160" w:type="dxa"/>
              <w:right w:w="160" w:type="dxa"/>
            </w:tcMar>
          </w:tcPr>
          <w:p>
            <w:r>
              <w:rPr>
                <w:color w:val="0F172A"/>
                <w:sz w:val="18"/>
              </w:rPr>
              <w:t>Laag</w:t>
            </w:r>
          </w:p>
        </w:tc>
        <w:tc>
          <w:tcPr>
            <w:tcW w:type="dxa" w:w="1871"/>
            <w:shd w:fill="F1F5F9"/>
            <w:tcMar>
              <w:top w:w="120" w:type="dxa"/>
              <w:bottom w:w="120" w:type="dxa"/>
              <w:left w:w="160" w:type="dxa"/>
              <w:right w:w="160" w:type="dxa"/>
            </w:tcMar>
          </w:tcPr>
          <w:p>
            <w:r>
              <w:rPr>
                <w:color w:val="0F172A"/>
                <w:sz w:val="18"/>
              </w:rPr>
              <w:t>OPGELOST</w:t>
            </w:r>
          </w:p>
        </w:tc>
      </w:tr>
      <w:tr>
        <w:tc>
          <w:tcPr>
            <w:tcW w:type="dxa" w:w="1134"/>
            <w:shd w:fill="FFFFFF"/>
            <w:tcMar>
              <w:top w:w="120" w:type="dxa"/>
              <w:bottom w:w="120" w:type="dxa"/>
              <w:left w:w="160" w:type="dxa"/>
              <w:right w:w="160" w:type="dxa"/>
            </w:tcMar>
          </w:tcPr>
          <w:p>
            <w:r>
              <w:rPr>
                <w:color w:val="0F172A"/>
                <w:sz w:val="18"/>
              </w:rPr>
              <w:t>SEC-09</w:t>
            </w:r>
          </w:p>
        </w:tc>
        <w:tc>
          <w:tcPr>
            <w:tcW w:type="dxa" w:w="3118"/>
            <w:shd w:fill="FFFFFF"/>
            <w:tcMar>
              <w:top w:w="120" w:type="dxa"/>
              <w:bottom w:w="120" w:type="dxa"/>
              <w:left w:w="160" w:type="dxa"/>
              <w:right w:w="160" w:type="dxa"/>
            </w:tcMar>
          </w:tcPr>
          <w:p>
            <w:r>
              <w:rPr>
                <w:color w:val="0F172A"/>
                <w:sz w:val="18"/>
              </w:rPr>
              <w:t>Ontbrekende Rate Limiting Publiek Evaluatie Token</w:t>
            </w:r>
          </w:p>
        </w:tc>
        <w:tc>
          <w:tcPr>
            <w:tcW w:type="dxa" w:w="1814"/>
            <w:shd w:fill="FFFFFF"/>
            <w:tcMar>
              <w:top w:w="120" w:type="dxa"/>
              <w:bottom w:w="120" w:type="dxa"/>
              <w:left w:w="160" w:type="dxa"/>
              <w:right w:w="160" w:type="dxa"/>
            </w:tcMar>
          </w:tcPr>
          <w:p>
            <w:r>
              <w:rPr>
                <w:color w:val="0F172A"/>
                <w:sz w:val="18"/>
              </w:rPr>
              <w:t>Rate Limiting</w:t>
            </w:r>
          </w:p>
        </w:tc>
        <w:tc>
          <w:tcPr>
            <w:tcW w:type="dxa" w:w="1417"/>
            <w:shd w:fill="FFFFFF"/>
            <w:tcMar>
              <w:top w:w="120" w:type="dxa"/>
              <w:bottom w:w="120" w:type="dxa"/>
              <w:left w:w="160" w:type="dxa"/>
              <w:right w:w="160" w:type="dxa"/>
            </w:tcMar>
          </w:tcPr>
          <w:p>
            <w:r>
              <w:rPr>
                <w:color w:val="0F172A"/>
                <w:sz w:val="18"/>
              </w:rPr>
              <w:t>Medium</w:t>
            </w:r>
          </w:p>
        </w:tc>
        <w:tc>
          <w:tcPr>
            <w:tcW w:type="dxa" w:w="1871"/>
            <w:shd w:fill="FFFFFF"/>
            <w:tcMar>
              <w:top w:w="120" w:type="dxa"/>
              <w:bottom w:w="120" w:type="dxa"/>
              <w:left w:w="160" w:type="dxa"/>
              <w:right w:w="160" w:type="dxa"/>
            </w:tcMar>
          </w:tcPr>
          <w:p>
            <w:r>
              <w:rPr>
                <w:color w:val="0F172A"/>
                <w:sz w:val="18"/>
              </w:rPr>
              <w:t>OPGELOST</w:t>
            </w:r>
          </w:p>
        </w:tc>
      </w:tr>
      <w:tr>
        <w:tc>
          <w:tcPr>
            <w:tcW w:type="dxa" w:w="1134"/>
            <w:shd w:fill="F1F5F9"/>
            <w:tcMar>
              <w:top w:w="120" w:type="dxa"/>
              <w:bottom w:w="120" w:type="dxa"/>
              <w:left w:w="160" w:type="dxa"/>
              <w:right w:w="160" w:type="dxa"/>
            </w:tcMar>
          </w:tcPr>
          <w:p>
            <w:r>
              <w:rPr>
                <w:color w:val="0F172A"/>
                <w:sz w:val="18"/>
              </w:rPr>
              <w:t>SEC-10</w:t>
            </w:r>
          </w:p>
        </w:tc>
        <w:tc>
          <w:tcPr>
            <w:tcW w:type="dxa" w:w="3118"/>
            <w:shd w:fill="F1F5F9"/>
            <w:tcMar>
              <w:top w:w="120" w:type="dxa"/>
              <w:bottom w:w="120" w:type="dxa"/>
              <w:left w:w="160" w:type="dxa"/>
              <w:right w:w="160" w:type="dxa"/>
            </w:tcMar>
          </w:tcPr>
          <w:p>
            <w:r>
              <w:rPr>
                <w:color w:val="0F172A"/>
                <w:sz w:val="18"/>
              </w:rPr>
              <w:t>In-Browser HTML &amp; Markdown Sandboxing</w:t>
            </w:r>
          </w:p>
        </w:tc>
        <w:tc>
          <w:tcPr>
            <w:tcW w:type="dxa" w:w="1814"/>
            <w:shd w:fill="F1F5F9"/>
            <w:tcMar>
              <w:top w:w="120" w:type="dxa"/>
              <w:bottom w:w="120" w:type="dxa"/>
              <w:left w:w="160" w:type="dxa"/>
              <w:right w:w="160" w:type="dxa"/>
            </w:tcMar>
          </w:tcPr>
          <w:p>
            <w:r>
              <w:rPr>
                <w:color w:val="0F172A"/>
                <w:sz w:val="18"/>
              </w:rPr>
              <w:t>XSS / Sandbox</w:t>
            </w:r>
          </w:p>
        </w:tc>
        <w:tc>
          <w:tcPr>
            <w:tcW w:type="dxa" w:w="1417"/>
            <w:shd w:fill="F1F5F9"/>
            <w:tcMar>
              <w:top w:w="120" w:type="dxa"/>
              <w:bottom w:w="120" w:type="dxa"/>
              <w:left w:w="160" w:type="dxa"/>
              <w:right w:w="160" w:type="dxa"/>
            </w:tcMar>
          </w:tcPr>
          <w:p>
            <w:r>
              <w:rPr>
                <w:color w:val="0F172A"/>
                <w:sz w:val="18"/>
              </w:rPr>
              <w:t>Medium</w:t>
            </w:r>
          </w:p>
        </w:tc>
        <w:tc>
          <w:tcPr>
            <w:tcW w:type="dxa" w:w="1871"/>
            <w:shd w:fill="F1F5F9"/>
            <w:tcMar>
              <w:top w:w="120" w:type="dxa"/>
              <w:bottom w:w="120" w:type="dxa"/>
              <w:left w:w="160" w:type="dxa"/>
              <w:right w:w="160" w:type="dxa"/>
            </w:tcMar>
          </w:tcPr>
          <w:p>
            <w:r>
              <w:rPr>
                <w:color w:val="0F172A"/>
                <w:sz w:val="18"/>
              </w:rPr>
              <w:t>GEVERIFIEERD</w:t>
            </w:r>
          </w:p>
        </w:tc>
      </w:tr>
      <w:tr>
        <w:tc>
          <w:tcPr>
            <w:tcW w:type="dxa" w:w="1134"/>
            <w:shd w:fill="FFFFFF"/>
            <w:tcMar>
              <w:top w:w="120" w:type="dxa"/>
              <w:bottom w:w="120" w:type="dxa"/>
              <w:left w:w="160" w:type="dxa"/>
              <w:right w:w="160" w:type="dxa"/>
            </w:tcMar>
          </w:tcPr>
          <w:p>
            <w:r>
              <w:rPr>
                <w:color w:val="0F172A"/>
                <w:sz w:val="18"/>
              </w:rPr>
              <w:t>SEC-11</w:t>
            </w:r>
          </w:p>
        </w:tc>
        <w:tc>
          <w:tcPr>
            <w:tcW w:type="dxa" w:w="3118"/>
            <w:shd w:fill="FFFFFF"/>
            <w:tcMar>
              <w:top w:w="120" w:type="dxa"/>
              <w:bottom w:w="120" w:type="dxa"/>
              <w:left w:w="160" w:type="dxa"/>
              <w:right w:w="160" w:type="dxa"/>
            </w:tcMar>
          </w:tcPr>
          <w:p>
            <w:r>
              <w:rPr>
                <w:color w:val="0F172A"/>
                <w:sz w:val="18"/>
              </w:rPr>
              <w:t>Schema Selector &amp; SQL Injection Preventie</w:t>
            </w:r>
          </w:p>
        </w:tc>
        <w:tc>
          <w:tcPr>
            <w:tcW w:type="dxa" w:w="1814"/>
            <w:shd w:fill="FFFFFF"/>
            <w:tcMar>
              <w:top w:w="120" w:type="dxa"/>
              <w:bottom w:w="120" w:type="dxa"/>
              <w:left w:w="160" w:type="dxa"/>
              <w:right w:w="160" w:type="dxa"/>
            </w:tcMar>
          </w:tcPr>
          <w:p>
            <w:r>
              <w:rPr>
                <w:color w:val="0F172A"/>
                <w:sz w:val="18"/>
              </w:rPr>
              <w:t>SQLi / Config</w:t>
            </w:r>
          </w:p>
        </w:tc>
        <w:tc>
          <w:tcPr>
            <w:tcW w:type="dxa" w:w="1417"/>
            <w:shd w:fill="FFFFFF"/>
            <w:tcMar>
              <w:top w:w="120" w:type="dxa"/>
              <w:bottom w:w="120" w:type="dxa"/>
              <w:left w:w="160" w:type="dxa"/>
              <w:right w:w="160" w:type="dxa"/>
            </w:tcMar>
          </w:tcPr>
          <w:p>
            <w:r>
              <w:rPr>
                <w:color w:val="0F172A"/>
                <w:sz w:val="18"/>
              </w:rPr>
              <w:t>Laag</w:t>
            </w:r>
          </w:p>
        </w:tc>
        <w:tc>
          <w:tcPr>
            <w:tcW w:type="dxa" w:w="1871"/>
            <w:shd w:fill="FFFFFF"/>
            <w:tcMar>
              <w:top w:w="120" w:type="dxa"/>
              <w:bottom w:w="120" w:type="dxa"/>
              <w:left w:w="160" w:type="dxa"/>
              <w:right w:w="160" w:type="dxa"/>
            </w:tcMar>
          </w:tcPr>
          <w:p>
            <w:r>
              <w:rPr>
                <w:color w:val="0F172A"/>
                <w:sz w:val="18"/>
              </w:rPr>
              <w:t>GEVERIFIEERD</w:t>
            </w:r>
          </w:p>
        </w:tc>
      </w:tr>
      <w:tr>
        <w:tc>
          <w:tcPr>
            <w:tcW w:type="dxa" w:w="1134"/>
            <w:shd w:fill="F1F5F9"/>
            <w:tcMar>
              <w:top w:w="120" w:type="dxa"/>
              <w:bottom w:w="120" w:type="dxa"/>
              <w:left w:w="160" w:type="dxa"/>
              <w:right w:w="160" w:type="dxa"/>
            </w:tcMar>
          </w:tcPr>
          <w:p>
            <w:r>
              <w:rPr>
                <w:color w:val="0F172A"/>
                <w:sz w:val="18"/>
              </w:rPr>
              <w:t>SEC-12</w:t>
            </w:r>
          </w:p>
        </w:tc>
        <w:tc>
          <w:tcPr>
            <w:tcW w:type="dxa" w:w="3118"/>
            <w:shd w:fill="F1F5F9"/>
            <w:tcMar>
              <w:top w:w="120" w:type="dxa"/>
              <w:bottom w:w="120" w:type="dxa"/>
              <w:left w:w="160" w:type="dxa"/>
              <w:right w:w="160" w:type="dxa"/>
            </w:tcMar>
          </w:tcPr>
          <w:p>
            <w:r>
              <w:rPr>
                <w:color w:val="0F172A"/>
                <w:sz w:val="18"/>
              </w:rPr>
              <w:t>Autorisatiematrix bij Evaluatiereactie Bewerken</w:t>
            </w:r>
          </w:p>
        </w:tc>
        <w:tc>
          <w:tcPr>
            <w:tcW w:type="dxa" w:w="1814"/>
            <w:shd w:fill="F1F5F9"/>
            <w:tcMar>
              <w:top w:w="120" w:type="dxa"/>
              <w:bottom w:w="120" w:type="dxa"/>
              <w:left w:w="160" w:type="dxa"/>
              <w:right w:w="160" w:type="dxa"/>
            </w:tcMar>
          </w:tcPr>
          <w:p>
            <w:r>
              <w:rPr>
                <w:color w:val="0F172A"/>
                <w:sz w:val="18"/>
              </w:rPr>
              <w:t>Toegangscontrole</w:t>
            </w:r>
          </w:p>
        </w:tc>
        <w:tc>
          <w:tcPr>
            <w:tcW w:type="dxa" w:w="1417"/>
            <w:shd w:fill="F1F5F9"/>
            <w:tcMar>
              <w:top w:w="120" w:type="dxa"/>
              <w:bottom w:w="120" w:type="dxa"/>
              <w:left w:w="160" w:type="dxa"/>
              <w:right w:w="160" w:type="dxa"/>
            </w:tcMar>
          </w:tcPr>
          <w:p>
            <w:r>
              <w:rPr>
                <w:color w:val="0F172A"/>
                <w:sz w:val="18"/>
              </w:rPr>
              <w:t>Medium</w:t>
            </w:r>
          </w:p>
        </w:tc>
        <w:tc>
          <w:tcPr>
            <w:tcW w:type="dxa" w:w="1871"/>
            <w:shd w:fill="F1F5F9"/>
            <w:tcMar>
              <w:top w:w="120" w:type="dxa"/>
              <w:bottom w:w="120" w:type="dxa"/>
              <w:left w:w="160" w:type="dxa"/>
              <w:right w:w="160" w:type="dxa"/>
            </w:tcMar>
          </w:tcPr>
          <w:p>
            <w:r>
              <w:rPr>
                <w:color w:val="0F172A"/>
                <w:sz w:val="18"/>
              </w:rPr>
              <w:t>GEVERIFIEERD</w:t>
            </w:r>
          </w:p>
        </w:tc>
      </w:tr>
    </w:tbl>
    <w:p>
      <w:pPr>
        <w:spacing w:after="120"/>
      </w:pPr>
    </w:p>
    <w:p>
      <w:pPr>
        <w:keepNext/>
        <w:spacing w:before="280" w:after="120"/>
      </w:pPr>
      <w:r>
        <w:rPr>
          <w:b/>
          <w:color w:val="2563EB"/>
          <w:sz w:val="26"/>
        </w:rPr>
        <w:t>5.1 Gedetailleerde Beschrijving van Recente Bevindingen (SEC-10 t/m SEC-12)</w:t>
      </w:r>
    </w:p>
    <w:p>
      <w:pPr>
        <w:keepNext/>
        <w:spacing w:before="200" w:after="80"/>
      </w:pPr>
      <w:r>
        <w:rPr>
          <w:b/>
          <w:color w:val="0F172A"/>
          <w:sz w:val="22"/>
        </w:rPr>
        <w:t>SEC-10: In-Browser HTML &amp; Markdown Sandboxing (GEVERIFIEERD &amp; VERSTERKT)</w:t>
      </w:r>
    </w:p>
    <w:p>
      <w:pPr>
        <w:pStyle w:val="ListBullet"/>
        <w:spacing w:before="20" w:after="60" w:line="276" w:lineRule="auto"/>
      </w:pPr>
      <w:r>
        <w:rPr>
          <w:b/>
          <w:color w:val="0F172A"/>
          <w:sz w:val="20"/>
        </w:rPr>
        <w:t xml:space="preserve">Risicoanalyse: </w:t>
      </w:r>
      <w:r>
        <w:rPr>
          <w:color w:val="0F172A"/>
          <w:sz w:val="20"/>
        </w:rPr>
        <w:t>Met de uitbreiding van de document viewer kunnen gebruikers HTML- en Markdown-documenten uploaden en in de browser bekijken. Indien HTML zonder strikte sandbox of met 'allow-same-origin' zou worden ingesloten, zou een geüpload HTML-bestand scripts kunnen uitvoeren in de context van de Digidokters sessie (Stored XSS).</w:t>
      </w:r>
    </w:p>
    <w:p>
      <w:pPr>
        <w:pStyle w:val="ListBullet"/>
        <w:spacing w:before="20" w:after="60" w:line="276" w:lineRule="auto"/>
      </w:pPr>
      <w:r>
        <w:rPr>
          <w:b/>
          <w:color w:val="0F172A"/>
          <w:sz w:val="20"/>
        </w:rPr>
        <w:t xml:space="preserve">Geïmplementeerde Oplossing: </w:t>
      </w:r>
      <w:r>
        <w:rPr>
          <w:color w:val="0F172A"/>
          <w:sz w:val="20"/>
        </w:rPr>
        <w:t>In templates/documents/viewer.html is het HTML iframe geconfigureerd met sandbox='allow-scripts allow-popups allow-forms' zónder allow-same-origin. Daarnaast stuurt het raw delivery endpoint (/documenten/&lt;id&gt;/bekijken?raw=1) de header Content-Security-Policy: sandbox allow-scripts allow-popups allow-forms; mee. Word- en ODT-documenten escapen 100% van de tekstruns via html.escape(). Hiermee is cross-site scripting via geüploade documenten waterdicht geneutraliseerd.</w:t>
      </w:r>
    </w:p>
    <w:p>
      <w:pPr>
        <w:keepNext/>
        <w:spacing w:before="200" w:after="80"/>
      </w:pPr>
      <w:r>
        <w:rPr>
          <w:b/>
          <w:color w:val="0F172A"/>
          <w:sz w:val="22"/>
        </w:rPr>
        <w:t>SEC-11: Database Schema Selector &amp; SQL Injection Preventie (GEVERIFIEERD)</w:t>
      </w:r>
    </w:p>
    <w:p>
      <w:pPr>
        <w:pStyle w:val="ListBullet"/>
        <w:spacing w:before="20" w:after="60" w:line="276" w:lineRule="auto"/>
      </w:pPr>
      <w:r>
        <w:rPr>
          <w:b/>
          <w:color w:val="0F172A"/>
          <w:sz w:val="20"/>
        </w:rPr>
        <w:t xml:space="preserve">Risicoanalyse: </w:t>
      </w:r>
      <w:r>
        <w:rPr>
          <w:color w:val="0F172A"/>
          <w:sz w:val="20"/>
        </w:rPr>
        <w:t>De introductie van dynamische PostgreSQL schema's ('public' en 'productie') vereist dat schema-namen strikt worden gesaneerd om SQL- of command-injectie via verbindingsparameters te voorkomen.</w:t>
      </w:r>
    </w:p>
    <w:p>
      <w:pPr>
        <w:pStyle w:val="ListBullet"/>
        <w:spacing w:before="20" w:after="60" w:line="276" w:lineRule="auto"/>
      </w:pPr>
      <w:r>
        <w:rPr>
          <w:b/>
          <w:color w:val="0F172A"/>
          <w:sz w:val="20"/>
        </w:rPr>
        <w:t xml:space="preserve">Geïmplementeerde Oplossing: </w:t>
      </w:r>
      <w:r>
        <w:rPr>
          <w:color w:val="0F172A"/>
          <w:sz w:val="20"/>
        </w:rPr>
        <w:t>In scripts/switch_schema.py wordt de doelschema-waarde gevalideerd tegen een strikte whitelist ('public', 'productie'). In config.py wordt de schema-naam via gecontroleerde connect_args gekoppeld aan de SQLAlchemy engine. Tevens is er een visuele waarschuwingsbadge in de UI aanwezig.</w:t>
      </w:r>
    </w:p>
    <w:p>
      <w:pPr>
        <w:keepNext/>
        <w:spacing w:before="200" w:after="80"/>
      </w:pPr>
      <w:r>
        <w:rPr>
          <w:b/>
          <w:color w:val="0F172A"/>
          <w:sz w:val="22"/>
        </w:rPr>
        <w:t>SEC-12: Autorisatiematrix bij Evaluatiereactie Bewerken (GEVERIFIEERD)</w:t>
      </w:r>
    </w:p>
    <w:p>
      <w:pPr>
        <w:pStyle w:val="ListBullet"/>
        <w:spacing w:before="20" w:after="60" w:line="276" w:lineRule="auto"/>
      </w:pPr>
      <w:r>
        <w:rPr>
          <w:b/>
          <w:color w:val="0F172A"/>
          <w:sz w:val="20"/>
        </w:rPr>
        <w:t xml:space="preserve">Risicoanalyse: </w:t>
      </w:r>
      <w:r>
        <w:rPr>
          <w:color w:val="0F172A"/>
          <w:sz w:val="20"/>
        </w:rPr>
        <w:t>De uitbreiding waarmee ingediende evaluatieformulieren achteraf gewijzigd kunnen worden door de auteur of beheerder, bracht een potentieel risico op Insecure Direct Object References (IDOR) of onbevoegde mutaties met zich mee.</w:t>
      </w:r>
    </w:p>
    <w:p>
      <w:pPr>
        <w:pStyle w:val="ListBullet"/>
        <w:spacing w:before="20" w:after="60" w:line="276" w:lineRule="auto"/>
      </w:pPr>
      <w:r>
        <w:rPr>
          <w:b/>
          <w:color w:val="0F172A"/>
          <w:sz w:val="20"/>
        </w:rPr>
        <w:t xml:space="preserve">Geïmplementeerde Oplossing: </w:t>
      </w:r>
      <w:r>
        <w:rPr>
          <w:color w:val="0F172A"/>
          <w:sz w:val="20"/>
        </w:rPr>
        <w:t>In routes/evaluations.py is de functie kan_evaluatie_bewerken() geïmplementeerd. Deze controleert strikt de hiërarchie: Platformbeheerder -&gt; Organisatiebeheerder -&gt; Oorspronkelijke auteur (user_id) -&gt; Gekoppelde Digidokter. Mutaties op evaluaties van andere organisaties worden direct met een HTTP 404/403 afgekapt.</w:t>
      </w:r>
    </w:p>
    <w:p>
      <w:pPr>
        <w:keepNext/>
        <w:spacing w:before="360" w:after="160"/>
      </w:pPr>
      <w:r>
        <w:rPr>
          <w:b/>
          <w:color w:val="1E3A8A"/>
          <w:sz w:val="32"/>
        </w:rPr>
        <w:t>6. Aanbevelingen voor Toekomstige Hardening (Defensive Roadmap)</w:t>
      </w:r>
    </w:p>
    <w:p>
      <w:pPr>
        <w:spacing w:before="0" w:after="120" w:line="276" w:lineRule="auto"/>
      </w:pPr>
      <w:r>
        <w:rPr>
          <w:i w:val="0"/>
          <w:color w:val="0F172A"/>
          <w:sz w:val="20"/>
        </w:rPr>
        <w:t>Hoewel het huidige beveiligingsniveau uitstekend is, worden de volgende best-practice verbeteringen aanbevolen voor toekomstige releases:</w:t>
      </w:r>
    </w:p>
    <w:p>
      <w:pPr>
        <w:pStyle w:val="ListBullet"/>
        <w:spacing w:before="20" w:after="60" w:line="276" w:lineRule="auto"/>
      </w:pPr>
      <w:r>
        <w:rPr>
          <w:b/>
          <w:color w:val="0F172A"/>
          <w:sz w:val="20"/>
        </w:rPr>
        <w:t xml:space="preserve">1. HTML Sanitization Library voor Markdown: </w:t>
      </w:r>
      <w:r>
        <w:rPr>
          <w:color w:val="0F172A"/>
          <w:sz w:val="20"/>
        </w:rPr>
        <w:t>Voor de in-memory weergave van Markdown (.md) documenten kan als extra defensieve laag een HTML sanitizer (zoals python library 'bleach' of 'nh3') worden toegepast vóór rendering, om ook eventuele zeldzame inline HTML-tags in markdown structureel te strippen.</w:t>
      </w:r>
    </w:p>
    <w:p>
      <w:pPr>
        <w:pStyle w:val="ListBullet"/>
        <w:spacing w:before="20" w:after="60" w:line="276" w:lineRule="auto"/>
      </w:pPr>
      <w:r>
        <w:rPr>
          <w:b/>
          <w:color w:val="0F172A"/>
          <w:sz w:val="20"/>
        </w:rPr>
        <w:t xml:space="preserve">2. PostgreSQL Row-Level Security (RLS): </w:t>
      </w:r>
      <w:r>
        <w:rPr>
          <w:color w:val="0F172A"/>
          <w:sz w:val="20"/>
        </w:rPr>
        <w:t>Overweeg bij ingeschakelde multi-organisatie multi-tenancy om naast de SQLAlchemy query-filters tevens PostgreSQL Row-Level Security (RLS) policies te activeren op database-niveau, als 'defense-in-depth' maatregel.</w:t>
      </w:r>
    </w:p>
    <w:p>
      <w:pPr>
        <w:pStyle w:val="ListBullet"/>
        <w:spacing w:before="20" w:after="60" w:line="276" w:lineRule="auto"/>
      </w:pPr>
      <w:r>
        <w:rPr>
          <w:b/>
          <w:color w:val="0F172A"/>
          <w:sz w:val="20"/>
        </w:rPr>
        <w:t xml:space="preserve">3. Two-Factor Authentication (2FA) voor Beheerders: </w:t>
      </w:r>
      <w:r>
        <w:rPr>
          <w:color w:val="0F172A"/>
          <w:sz w:val="20"/>
        </w:rPr>
        <w:t>Implementeer optionele Twee-Factor Authenticatie (2FA / TOTP) voor gebruikers met de rol Platformbeheerder en Organisatiebeheerder.</w:t>
      </w:r>
    </w:p>
    <w:p>
      <w:pPr>
        <w:pStyle w:val="ListBullet"/>
        <w:spacing w:before="20" w:after="60" w:line="276" w:lineRule="auto"/>
      </w:pPr>
      <w:r>
        <w:rPr>
          <w:b/>
          <w:color w:val="0F172A"/>
          <w:sz w:val="20"/>
        </w:rPr>
        <w:t xml:space="preserve">4. Geautomatiseerde Dependency Vulnerability Scanning: </w:t>
      </w:r>
      <w:r>
        <w:rPr>
          <w:color w:val="0F172A"/>
          <w:sz w:val="20"/>
        </w:rPr>
        <w:t>Schakel in de CI/CD pipeline geautomatiseerde dependency scanning in (bijv. pip-audit of Dependabot) om proactief gewaarschuwd te worden voor kwetsbaarheden in upstream Python packages.</w:t>
      </w:r>
    </w:p>
    <w:p>
      <w:pPr>
        <w:keepNext/>
        <w:spacing w:before="360" w:after="160"/>
      </w:pPr>
      <w:r>
        <w:rPr>
          <w:b/>
          <w:color w:val="1E3A8A"/>
          <w:sz w:val="32"/>
        </w:rPr>
        <w:t>7. Conclusie &amp; Goedkeuring</w:t>
      </w:r>
    </w:p>
    <w:p>
      <w:pPr>
        <w:spacing w:before="0" w:after="120" w:line="276" w:lineRule="auto"/>
      </w:pPr>
      <w:r>
        <w:rPr>
          <w:i w:val="0"/>
          <w:color w:val="0F172A"/>
          <w:sz w:val="20"/>
        </w:rPr>
        <w:t>De herhaalde security audit van 5 oktober 2026 toont aan dat het Digidokters platform op alle onderdelen voldoet aan de strengste normen voor web- en applicatiebeveiliging. Zowel de historische beveiligingspunten als de recente uitbreidingen (In-browser Document Viewer, Supabase GFS Backup &amp; Live Sync, Database Schema Switching, RBAC Lezer Rol en Jenkins/SonarQube CI/CD) zijn grondig geanalyseerd, veilig bevonden en 100% afgedekt met 183 unittests.</w:t>
      </w:r>
    </w:p>
    <w:p>
      <w:pPr>
        <w:spacing w:before="0" w:after="120" w:line="276" w:lineRule="auto"/>
      </w:pPr>
      <w:r>
        <w:rPr>
          <w:b/>
          <w:color w:val="0F172A"/>
          <w:sz w:val="20"/>
        </w:rPr>
        <w:t xml:space="preserve">Eindoordeel: </w:t>
      </w:r>
      <w:r>
        <w:rPr>
          <w:i w:val="0"/>
          <w:color w:val="0F172A"/>
          <w:sz w:val="20"/>
        </w:rPr>
        <w:t>Het platform is volledig gereed voor veilig en betrouwbaar gebruik in productie.</w:t>
      </w:r>
    </w:p>
    <w:p>
      <w:pPr>
        <w:spacing w:after="400"/>
      </w:pP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3135"/>
        <w:gridCol w:w="3135"/>
        <w:gridCol w:w="3135"/>
      </w:tblGrid>
      <w:tr>
        <w:tc>
          <w:tcPr>
            <w:tcW w:type="dxa" w:w="4252"/>
            <w:shd w:fill="1E3A8A"/>
            <w:tcMar>
              <w:top w:w="160" w:type="dxa"/>
              <w:bottom w:w="160" w:type="dxa"/>
              <w:left w:w="180" w:type="dxa"/>
              <w:right w:w="180" w:type="dxa"/>
            </w:tcMar>
          </w:tcPr>
          <w:p>
            <w:pPr>
              <w:jc w:val="left"/>
            </w:pPr>
            <w:r>
              <w:rPr>
                <w:b/>
                <w:color w:val="FFFFFF"/>
                <w:sz w:val="19"/>
              </w:rPr>
              <w:t>Rol / Discipline</w:t>
            </w:r>
          </w:p>
        </w:tc>
        <w:tc>
          <w:tcPr>
            <w:tcW w:type="dxa" w:w="3402"/>
            <w:shd w:fill="1E3A8A"/>
            <w:tcMar>
              <w:top w:w="160" w:type="dxa"/>
              <w:bottom w:w="160" w:type="dxa"/>
              <w:left w:w="180" w:type="dxa"/>
              <w:right w:w="180" w:type="dxa"/>
            </w:tcMar>
          </w:tcPr>
          <w:p>
            <w:pPr>
              <w:jc w:val="left"/>
            </w:pPr>
            <w:r>
              <w:rPr>
                <w:b/>
                <w:color w:val="FFFFFF"/>
                <w:sz w:val="19"/>
              </w:rPr>
              <w:t>Status</w:t>
            </w:r>
          </w:p>
        </w:tc>
        <w:tc>
          <w:tcPr>
            <w:tcW w:type="dxa" w:w="1701"/>
            <w:shd w:fill="1E3A8A"/>
            <w:tcMar>
              <w:top w:w="160" w:type="dxa"/>
              <w:bottom w:w="160" w:type="dxa"/>
              <w:left w:w="180" w:type="dxa"/>
              <w:right w:w="180" w:type="dxa"/>
            </w:tcMar>
          </w:tcPr>
          <w:p>
            <w:pPr>
              <w:jc w:val="left"/>
            </w:pPr>
            <w:r>
              <w:rPr>
                <w:b/>
                <w:color w:val="FFFFFF"/>
                <w:sz w:val="19"/>
              </w:rPr>
              <w:t>Datum</w:t>
            </w:r>
          </w:p>
        </w:tc>
      </w:tr>
      <w:tr>
        <w:tc>
          <w:tcPr>
            <w:tcW w:type="dxa" w:w="4252"/>
            <w:shd w:fill="FFFFFF"/>
            <w:tcMar>
              <w:top w:w="120" w:type="dxa"/>
              <w:bottom w:w="120" w:type="dxa"/>
              <w:left w:w="160" w:type="dxa"/>
              <w:right w:w="160" w:type="dxa"/>
            </w:tcMar>
          </w:tcPr>
          <w:p>
            <w:r>
              <w:rPr>
                <w:color w:val="0F172A"/>
                <w:sz w:val="18"/>
              </w:rPr>
              <w:t>Security Auditor &amp; Lead Code Reviewer</w:t>
            </w:r>
          </w:p>
        </w:tc>
        <w:tc>
          <w:tcPr>
            <w:tcW w:type="dxa" w:w="3402"/>
            <w:shd w:fill="FFFFFF"/>
            <w:tcMar>
              <w:top w:w="120" w:type="dxa"/>
              <w:bottom w:w="120" w:type="dxa"/>
              <w:left w:w="160" w:type="dxa"/>
              <w:right w:w="160" w:type="dxa"/>
            </w:tcMar>
          </w:tcPr>
          <w:p>
            <w:r>
              <w:rPr>
                <w:color w:val="0F172A"/>
                <w:sz w:val="18"/>
              </w:rPr>
              <w:t>GOEDGEKEURD (Conform OWASP ASVS)</w:t>
            </w:r>
          </w:p>
        </w:tc>
        <w:tc>
          <w:tcPr>
            <w:tcW w:type="dxa" w:w="1701"/>
            <w:shd w:fill="FFFFFF"/>
            <w:tcMar>
              <w:top w:w="120" w:type="dxa"/>
              <w:bottom w:w="120" w:type="dxa"/>
              <w:left w:w="160" w:type="dxa"/>
              <w:right w:w="160" w:type="dxa"/>
            </w:tcMar>
          </w:tcPr>
          <w:p>
            <w:r>
              <w:rPr>
                <w:color w:val="0F172A"/>
                <w:sz w:val="18"/>
              </w:rPr>
              <w:t>05-10-2026</w:t>
            </w:r>
          </w:p>
        </w:tc>
      </w:tr>
      <w:tr>
        <w:tc>
          <w:tcPr>
            <w:tcW w:type="dxa" w:w="4252"/>
            <w:shd w:fill="F1F5F9"/>
            <w:tcMar>
              <w:top w:w="120" w:type="dxa"/>
              <w:bottom w:w="120" w:type="dxa"/>
              <w:left w:w="160" w:type="dxa"/>
              <w:right w:w="160" w:type="dxa"/>
            </w:tcMar>
          </w:tcPr>
          <w:p>
            <w:r>
              <w:rPr>
                <w:color w:val="0F172A"/>
                <w:sz w:val="18"/>
              </w:rPr>
              <w:t>Geautomatiseerde Testsuite (183 tests)</w:t>
            </w:r>
          </w:p>
        </w:tc>
        <w:tc>
          <w:tcPr>
            <w:tcW w:type="dxa" w:w="3402"/>
            <w:shd w:fill="F1F5F9"/>
            <w:tcMar>
              <w:top w:w="120" w:type="dxa"/>
              <w:bottom w:w="120" w:type="dxa"/>
              <w:left w:w="160" w:type="dxa"/>
              <w:right w:w="160" w:type="dxa"/>
            </w:tcMar>
          </w:tcPr>
          <w:p>
            <w:r>
              <w:rPr>
                <w:color w:val="0F172A"/>
                <w:sz w:val="18"/>
              </w:rPr>
              <w:t>100% GESLAAGD (0 fouten, 0 mislukt)</w:t>
            </w:r>
          </w:p>
        </w:tc>
        <w:tc>
          <w:tcPr>
            <w:tcW w:type="dxa" w:w="1701"/>
            <w:shd w:fill="F1F5F9"/>
            <w:tcMar>
              <w:top w:w="120" w:type="dxa"/>
              <w:bottom w:w="120" w:type="dxa"/>
              <w:left w:w="160" w:type="dxa"/>
              <w:right w:w="160" w:type="dxa"/>
            </w:tcMar>
          </w:tcPr>
          <w:p>
            <w:r>
              <w:rPr>
                <w:color w:val="0F172A"/>
                <w:sz w:val="18"/>
              </w:rPr>
              <w:t>05-10-2026</w:t>
            </w:r>
          </w:p>
        </w:tc>
      </w:tr>
      <w:tr>
        <w:tc>
          <w:tcPr>
            <w:tcW w:type="dxa" w:w="4252"/>
            <w:shd w:fill="FFFFFF"/>
            <w:tcMar>
              <w:top w:w="120" w:type="dxa"/>
              <w:bottom w:w="120" w:type="dxa"/>
              <w:left w:w="160" w:type="dxa"/>
              <w:right w:w="160" w:type="dxa"/>
            </w:tcMar>
          </w:tcPr>
          <w:p>
            <w:r>
              <w:rPr>
                <w:color w:val="0F172A"/>
                <w:sz w:val="18"/>
              </w:rPr>
              <w:t>SonarQube Quality Gate</w:t>
            </w:r>
          </w:p>
        </w:tc>
        <w:tc>
          <w:tcPr>
            <w:tcW w:type="dxa" w:w="3402"/>
            <w:shd w:fill="FFFFFF"/>
            <w:tcMar>
              <w:top w:w="120" w:type="dxa"/>
              <w:bottom w:w="120" w:type="dxa"/>
              <w:left w:w="160" w:type="dxa"/>
              <w:right w:w="160" w:type="dxa"/>
            </w:tcMar>
          </w:tcPr>
          <w:p>
            <w:r>
              <w:rPr>
                <w:color w:val="0F172A"/>
                <w:sz w:val="18"/>
              </w:rPr>
              <w:t>GEPASSEERD (A-Rating Security)</w:t>
            </w:r>
          </w:p>
        </w:tc>
        <w:tc>
          <w:tcPr>
            <w:tcW w:type="dxa" w:w="1701"/>
            <w:shd w:fill="FFFFFF"/>
            <w:tcMar>
              <w:top w:w="120" w:type="dxa"/>
              <w:bottom w:w="120" w:type="dxa"/>
              <w:left w:w="160" w:type="dxa"/>
              <w:right w:w="160" w:type="dxa"/>
            </w:tcMar>
          </w:tcPr>
          <w:p>
            <w:r>
              <w:rPr>
                <w:color w:val="0F172A"/>
                <w:sz w:val="18"/>
              </w:rPr>
              <w:t>05-10-2026</w:t>
            </w:r>
          </w:p>
        </w:tc>
      </w:tr>
    </w:tbl>
    <w:p>
      <w:pPr>
        <w:spacing w:after="120"/>
      </w:pP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 xml:space="preserve">Vertrouwelijk — Digidokters Security Audit Rapport — Pagina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Digidokters Platform — Technische Security Audit (oktober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