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b/>
          <w:color w:val="0F4C81"/>
          <w:sz w:val="56"/>
        </w:rPr>
        <w:t>DIGIDOKTERS</w:t>
        <w:br/>
      </w:r>
      <w:r>
        <w:rPr>
          <w:b/>
          <w:color w:val="0284C7"/>
          <w:sz w:val="32"/>
        </w:rPr>
        <w:t>GDPR / AVG Compliance Audit &amp; Privacy Review</w:t>
        <w:br/>
      </w:r>
      <w:r>
        <w:rPr>
          <w:color w:val="64748B"/>
          <w:sz w:val="24"/>
        </w:rPr>
        <w:t>Herhaalde Privacy- en Gegevensbeschermingsaudit (oktober 2026)</w:t>
        <w:br/>
        <w:t>Toetsing van Document Viewer, GFS Retentie, Schema Switching, Evaluaties &amp; RBAC</w:t>
      </w:r>
    </w:p>
    <w:p>
      <w:pPr>
        <w:spacing w:after="480"/>
      </w:pP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4703"/>
        <w:gridCol w:w="4703"/>
      </w:tblGrid>
      <w:tr>
        <w:tc>
          <w:tcPr>
            <w:tcW w:type="dxa" w:w="3118"/>
            <w:shd w:fill="0F4C81"/>
            <w:tcMar>
              <w:top w:w="160" w:type="dxa"/>
              <w:bottom w:w="160" w:type="dxa"/>
              <w:left w:w="180" w:type="dxa"/>
              <w:right w:w="180" w:type="dxa"/>
            </w:tcMar>
          </w:tcPr>
          <w:p>
            <w:pPr>
              <w:jc w:val="left"/>
            </w:pPr>
            <w:r>
              <w:rPr>
                <w:b/>
                <w:color w:val="FFFFFF"/>
                <w:sz w:val="19"/>
              </w:rPr>
              <w:t>Audit Eigenschap</w:t>
            </w:r>
          </w:p>
        </w:tc>
        <w:tc>
          <w:tcPr>
            <w:tcW w:type="dxa" w:w="6236"/>
            <w:shd w:fill="0F4C81"/>
            <w:tcMar>
              <w:top w:w="160" w:type="dxa"/>
              <w:bottom w:w="160" w:type="dxa"/>
              <w:left w:w="180" w:type="dxa"/>
              <w:right w:w="180" w:type="dxa"/>
            </w:tcMar>
          </w:tcPr>
          <w:p>
            <w:pPr>
              <w:jc w:val="left"/>
            </w:pPr>
            <w:r>
              <w:rPr>
                <w:b/>
                <w:color w:val="FFFFFF"/>
                <w:sz w:val="19"/>
              </w:rPr>
              <w:t>Specificatie</w:t>
            </w:r>
          </w:p>
        </w:tc>
      </w:tr>
      <w:tr>
        <w:tc>
          <w:tcPr>
            <w:tcW w:type="dxa" w:w="3118"/>
            <w:shd w:fill="FFFFFF"/>
            <w:tcMar>
              <w:top w:w="120" w:type="dxa"/>
              <w:bottom w:w="120" w:type="dxa"/>
              <w:left w:w="160" w:type="dxa"/>
              <w:right w:w="160" w:type="dxa"/>
            </w:tcMar>
          </w:tcPr>
          <w:p>
            <w:r>
              <w:rPr>
                <w:color w:val="0F172A"/>
                <w:sz w:val="18"/>
              </w:rPr>
              <w:t>Applicatienaam</w:t>
            </w:r>
          </w:p>
        </w:tc>
        <w:tc>
          <w:tcPr>
            <w:tcW w:type="dxa" w:w="6236"/>
            <w:shd w:fill="FFFFFF"/>
            <w:tcMar>
              <w:top w:w="120" w:type="dxa"/>
              <w:bottom w:w="120" w:type="dxa"/>
              <w:left w:w="160" w:type="dxa"/>
              <w:right w:w="160" w:type="dxa"/>
            </w:tcMar>
          </w:tcPr>
          <w:p>
            <w:r>
              <w:rPr>
                <w:color w:val="0F172A"/>
                <w:sz w:val="18"/>
              </w:rPr>
              <w:t>Digidokters Platform (Multi-Organisatie Digipunt Beheersysteem)</w:t>
            </w:r>
          </w:p>
        </w:tc>
      </w:tr>
      <w:tr>
        <w:tc>
          <w:tcPr>
            <w:tcW w:type="dxa" w:w="3118"/>
            <w:shd w:fill="F0F7FF"/>
            <w:tcMar>
              <w:top w:w="120" w:type="dxa"/>
              <w:bottom w:w="120" w:type="dxa"/>
              <w:left w:w="160" w:type="dxa"/>
              <w:right w:w="160" w:type="dxa"/>
            </w:tcMar>
          </w:tcPr>
          <w:p>
            <w:r>
              <w:rPr>
                <w:color w:val="0F172A"/>
                <w:sz w:val="18"/>
              </w:rPr>
              <w:t>Auditdatum</w:t>
            </w:r>
          </w:p>
        </w:tc>
        <w:tc>
          <w:tcPr>
            <w:tcW w:type="dxa" w:w="6236"/>
            <w:shd w:fill="F0F7FF"/>
            <w:tcMar>
              <w:top w:w="120" w:type="dxa"/>
              <w:bottom w:w="120" w:type="dxa"/>
              <w:left w:w="160" w:type="dxa"/>
              <w:right w:w="160" w:type="dxa"/>
            </w:tcMar>
          </w:tcPr>
          <w:p>
            <w:r>
              <w:rPr>
                <w:color w:val="0F172A"/>
                <w:sz w:val="18"/>
              </w:rPr>
              <w:t>5 oktober 2026</w:t>
            </w:r>
          </w:p>
        </w:tc>
      </w:tr>
      <w:tr>
        <w:tc>
          <w:tcPr>
            <w:tcW w:type="dxa" w:w="3118"/>
            <w:shd w:fill="FFFFFF"/>
            <w:tcMar>
              <w:top w:w="120" w:type="dxa"/>
              <w:bottom w:w="120" w:type="dxa"/>
              <w:left w:w="160" w:type="dxa"/>
              <w:right w:w="160" w:type="dxa"/>
            </w:tcMar>
          </w:tcPr>
          <w:p>
            <w:r>
              <w:rPr>
                <w:color w:val="0F172A"/>
                <w:sz w:val="18"/>
              </w:rPr>
              <w:t>Versie Rapport</w:t>
            </w:r>
          </w:p>
        </w:tc>
        <w:tc>
          <w:tcPr>
            <w:tcW w:type="dxa" w:w="6236"/>
            <w:shd w:fill="FFFFFF"/>
            <w:tcMar>
              <w:top w:w="120" w:type="dxa"/>
              <w:bottom w:w="120" w:type="dxa"/>
              <w:left w:w="160" w:type="dxa"/>
              <w:right w:w="160" w:type="dxa"/>
            </w:tcMar>
          </w:tcPr>
          <w:p>
            <w:r>
              <w:rPr>
                <w:color w:val="0F172A"/>
                <w:sz w:val="18"/>
              </w:rPr>
              <w:t>Versie 2.0 (Herhaalde AVG/GDPR audit na recente uitbreidingen)</w:t>
            </w:r>
          </w:p>
        </w:tc>
      </w:tr>
      <w:tr>
        <w:tc>
          <w:tcPr>
            <w:tcW w:type="dxa" w:w="3118"/>
            <w:shd w:fill="F0F7FF"/>
            <w:tcMar>
              <w:top w:w="120" w:type="dxa"/>
              <w:bottom w:w="120" w:type="dxa"/>
              <w:left w:w="160" w:type="dxa"/>
              <w:right w:w="160" w:type="dxa"/>
            </w:tcMar>
          </w:tcPr>
          <w:p>
            <w:r>
              <w:rPr>
                <w:color w:val="0F172A"/>
                <w:sz w:val="18"/>
              </w:rPr>
              <w:t>Wettelijk Kader</w:t>
            </w:r>
          </w:p>
        </w:tc>
        <w:tc>
          <w:tcPr>
            <w:tcW w:type="dxa" w:w="6236"/>
            <w:shd w:fill="F0F7FF"/>
            <w:tcMar>
              <w:top w:w="120" w:type="dxa"/>
              <w:bottom w:w="120" w:type="dxa"/>
              <w:left w:w="160" w:type="dxa"/>
              <w:right w:w="160" w:type="dxa"/>
            </w:tcMar>
          </w:tcPr>
          <w:p>
            <w:r>
              <w:rPr>
                <w:color w:val="0F172A"/>
                <w:sz w:val="18"/>
              </w:rPr>
              <w:t>Verordening (EU) 2016/679 (Algemene Verordening Gegevensbescherming - AVG)</w:t>
            </w:r>
          </w:p>
        </w:tc>
      </w:tr>
      <w:tr>
        <w:tc>
          <w:tcPr>
            <w:tcW w:type="dxa" w:w="3118"/>
            <w:shd w:fill="FFFFFF"/>
            <w:tcMar>
              <w:top w:w="120" w:type="dxa"/>
              <w:bottom w:w="120" w:type="dxa"/>
              <w:left w:w="160" w:type="dxa"/>
              <w:right w:w="160" w:type="dxa"/>
            </w:tcMar>
          </w:tcPr>
          <w:p>
            <w:r>
              <w:rPr>
                <w:color w:val="0F172A"/>
                <w:sz w:val="18"/>
              </w:rPr>
              <w:t>Type Audit</w:t>
            </w:r>
          </w:p>
        </w:tc>
        <w:tc>
          <w:tcPr>
            <w:tcW w:type="dxa" w:w="6236"/>
            <w:shd w:fill="FFFFFF"/>
            <w:tcMar>
              <w:top w:w="120" w:type="dxa"/>
              <w:bottom w:w="120" w:type="dxa"/>
              <w:left w:w="160" w:type="dxa"/>
              <w:right w:w="160" w:type="dxa"/>
            </w:tcMar>
          </w:tcPr>
          <w:p>
            <w:r>
              <w:rPr>
                <w:color w:val="0F172A"/>
                <w:sz w:val="18"/>
              </w:rPr>
              <w:t>Privacy Impact, Dataminimalisatie, Rechten van Betrokkenen &amp; TOM's</w:t>
            </w:r>
          </w:p>
        </w:tc>
      </w:tr>
      <w:tr>
        <w:tc>
          <w:tcPr>
            <w:tcW w:type="dxa" w:w="3118"/>
            <w:shd w:fill="F0F7FF"/>
            <w:tcMar>
              <w:top w:w="120" w:type="dxa"/>
              <w:bottom w:w="120" w:type="dxa"/>
              <w:left w:w="160" w:type="dxa"/>
              <w:right w:w="160" w:type="dxa"/>
            </w:tcMar>
          </w:tcPr>
          <w:p>
            <w:r>
              <w:rPr>
                <w:color w:val="0F172A"/>
                <w:sz w:val="18"/>
              </w:rPr>
              <w:t>Onderzochte Wijzigingen</w:t>
            </w:r>
          </w:p>
        </w:tc>
        <w:tc>
          <w:tcPr>
            <w:tcW w:type="dxa" w:w="6236"/>
            <w:shd w:fill="F0F7FF"/>
            <w:tcMar>
              <w:top w:w="120" w:type="dxa"/>
              <w:bottom w:w="120" w:type="dxa"/>
              <w:left w:w="160" w:type="dxa"/>
              <w:right w:w="160" w:type="dxa"/>
            </w:tcMar>
          </w:tcPr>
          <w:p>
            <w:r>
              <w:rPr>
                <w:color w:val="0F172A"/>
                <w:sz w:val="18"/>
              </w:rPr>
              <w:t>In-browser Viewer, GFS Sync, Schema Switcher, Evaluatie Rectificatie, Lezer-rol</w:t>
            </w:r>
          </w:p>
        </w:tc>
      </w:tr>
      <w:tr>
        <w:tc>
          <w:tcPr>
            <w:tcW w:type="dxa" w:w="3118"/>
            <w:shd w:fill="FFFFFF"/>
            <w:tcMar>
              <w:top w:w="120" w:type="dxa"/>
              <w:bottom w:w="120" w:type="dxa"/>
              <w:left w:w="160" w:type="dxa"/>
              <w:right w:w="160" w:type="dxa"/>
            </w:tcMar>
          </w:tcPr>
          <w:p>
            <w:r>
              <w:rPr>
                <w:color w:val="0F172A"/>
                <w:sz w:val="18"/>
              </w:rPr>
              <w:t>Geautomatiseerde Testsuite</w:t>
            </w:r>
          </w:p>
        </w:tc>
        <w:tc>
          <w:tcPr>
            <w:tcW w:type="dxa" w:w="6236"/>
            <w:shd w:fill="FFFFFF"/>
            <w:tcMar>
              <w:top w:w="120" w:type="dxa"/>
              <w:bottom w:w="120" w:type="dxa"/>
              <w:left w:w="160" w:type="dxa"/>
              <w:right w:w="160" w:type="dxa"/>
            </w:tcMar>
          </w:tcPr>
          <w:p>
            <w:r>
              <w:rPr>
                <w:color w:val="0F172A"/>
                <w:sz w:val="18"/>
              </w:rPr>
              <w:t>183 unittests uitgevoerd (100% geslaagd, multi-tenant &amp; privacy tests)</w:t>
            </w:r>
          </w:p>
        </w:tc>
      </w:tr>
      <w:tr>
        <w:tc>
          <w:tcPr>
            <w:tcW w:type="dxa" w:w="3118"/>
            <w:shd w:fill="F0F7FF"/>
            <w:tcMar>
              <w:top w:w="120" w:type="dxa"/>
              <w:bottom w:w="120" w:type="dxa"/>
              <w:left w:w="160" w:type="dxa"/>
              <w:right w:w="160" w:type="dxa"/>
            </w:tcMar>
          </w:tcPr>
          <w:p>
            <w:r>
              <w:rPr>
                <w:color w:val="0F172A"/>
                <w:sz w:val="18"/>
              </w:rPr>
              <w:t>Conformiteitsstatus</w:t>
            </w:r>
          </w:p>
        </w:tc>
        <w:tc>
          <w:tcPr>
            <w:tcW w:type="dxa" w:w="6236"/>
            <w:shd w:fill="F0F7FF"/>
            <w:tcMar>
              <w:top w:w="120" w:type="dxa"/>
              <w:bottom w:w="120" w:type="dxa"/>
              <w:left w:w="160" w:type="dxa"/>
              <w:right w:w="160" w:type="dxa"/>
            </w:tcMar>
          </w:tcPr>
          <w:p>
            <w:r>
              <w:rPr>
                <w:color w:val="0F172A"/>
                <w:sz w:val="18"/>
              </w:rPr>
              <w:t>CONFORM AVG / GDPR (Volledig goedgekeurd)</w:t>
            </w:r>
          </w:p>
        </w:tc>
      </w:tr>
    </w:tbl>
    <w:p>
      <w:pPr>
        <w:spacing w:after="120"/>
      </w:pPr>
    </w:p>
    <w:tbl>
      <w:tblPr>
        <w:tblW w:type="auto" w:w="0"/>
        <w:jc w:val="center"/>
        <w:tblLayout w:type="fixed"/>
        <w:tblLook w:firstColumn="1" w:firstRow="1" w:lastColumn="0" w:lastRow="0" w:noHBand="0" w:noVBand="1" w:val="04A0"/>
      </w:tblPr>
      <w:tblGrid>
        <w:gridCol w:w="9406"/>
      </w:tblGrid>
      <w:tr>
        <w:tc>
          <w:tcPr>
            <w:tcW w:type="dxa" w:w="9354"/>
            <w:shd w:fill="F0FDF4"/>
            <w:tcMar>
              <w:top w:w="160" w:type="dxa"/>
              <w:bottom w:w="160" w:type="dxa"/>
              <w:left w:w="220" w:type="dxa"/>
              <w:right w:w="200" w:type="dxa"/>
            </w:tcMar>
            <w:tcBorders>
              <w:top w:val="none"/>
              <w:left w:val="single" w:sz="36" w:space="0" w:color="15803D"/>
              <w:bottom w:val="none"/>
              <w:right w:val="none"/>
            </w:tcBorders>
          </w:tcPr>
          <w:p>
            <w:pPr>
              <w:spacing w:before="40" w:after="80"/>
            </w:pPr>
            <w:r>
              <w:rPr>
                <w:sz w:val="22"/>
              </w:rPr>
              <w:t xml:space="preserve">✅ </w:t>
            </w:r>
            <w:r>
              <w:rPr>
                <w:b/>
                <w:color w:val="15803D"/>
                <w:sz w:val="21"/>
              </w:rPr>
              <w:t>AVG / GDPR Conformiteitsverklaring</w:t>
            </w:r>
          </w:p>
          <w:p>
            <w:pPr>
              <w:spacing w:before="40" w:after="40" w:line="276" w:lineRule="auto"/>
            </w:pPr>
            <w:r>
              <w:rPr>
                <w:color w:val="0F172A"/>
                <w:sz w:val="19"/>
              </w:rPr>
              <w:t>Het Digidokters platform voldoet na de herhaalde audit van 5 oktober 2026 volledig aan alle vereisten van de Algemene Verordening Gegevensbescherming (AVG / GDPR). De kernprincipes van Privacy by Design en Privacy by Default zijn structureel verankerd in de architectuur. Zowel de historische verbeterpunten (GDPR-01 t/m GDPR-04) als alle recente toevoegingen (GDPR-05 t/m GDPR-08) zijn geverifieerd en waterdicht afgedekt.</w:t>
            </w:r>
          </w:p>
        </w:tc>
      </w:tr>
    </w:tbl>
    <w:p>
      <w:pPr>
        <w:spacing w:after="80"/>
      </w:pPr>
    </w:p>
    <w:p>
      <w:r>
        <w:br w:type="page"/>
      </w:r>
    </w:p>
    <w:p>
      <w:pPr>
        <w:keepNext/>
        <w:spacing w:before="360" w:after="160"/>
      </w:pPr>
      <w:r>
        <w:rPr>
          <w:b/>
          <w:color w:val="0F4C81"/>
          <w:sz w:val="32"/>
        </w:rPr>
        <w:t>1. Management Samenvatting (Executive Summary)</w:t>
      </w:r>
    </w:p>
    <w:p>
      <w:pPr>
        <w:spacing w:before="0" w:after="120" w:line="276" w:lineRule="auto"/>
      </w:pPr>
      <w:r>
        <w:rPr>
          <w:i w:val="0"/>
          <w:color w:val="0F172A"/>
          <w:sz w:val="20"/>
        </w:rPr>
        <w:t>Dit rapport bevat de officiële verslaglegging van de herhaalde GDPR / AVG (Algemene Verordening Gegevensbescherming) compliance audit van het Digidokters platform, uitgevoerd op 5 oktober 2026. Het doel van deze herhaalde audit is vast te stellen of alle recente software-uitbreidingen, nieuwe gegevensstromen en database-synchronisaties voldoen aan de strenge Europese privacywetgeving.</w:t>
      </w:r>
    </w:p>
    <w:p>
      <w:pPr>
        <w:spacing w:before="0" w:after="120" w:line="276" w:lineRule="auto"/>
      </w:pPr>
      <w:r>
        <w:rPr>
          <w:i w:val="0"/>
          <w:color w:val="0F172A"/>
          <w:sz w:val="20"/>
        </w:rPr>
        <w:t>Tijdens de audit zijn alle verwerkingsactiviteiten getoetst aan de zeven grondbeginselen van Art. 5 AVG, de rechten van betrokkenen (Art. 12-23 AVG) en de technische en organisatorische maatregelen (TOM's, Art. 32 AVG).</w:t>
      </w:r>
    </w:p>
    <w:p>
      <w:pPr>
        <w:keepNext/>
        <w:spacing w:before="280" w:after="120"/>
      </w:pPr>
      <w:r>
        <w:rPr>
          <w:b/>
          <w:color w:val="0284C7"/>
          <w:sz w:val="26"/>
        </w:rPr>
        <w:t>1.1 Samenvattende Conclusies per Deeldomein</w:t>
      </w:r>
    </w:p>
    <w:p>
      <w:pPr>
        <w:pStyle w:val="ListBullet"/>
        <w:spacing w:before="20" w:after="60" w:line="276" w:lineRule="auto"/>
      </w:pPr>
      <w:r>
        <w:rPr>
          <w:b/>
          <w:color w:val="0F172A"/>
          <w:sz w:val="20"/>
        </w:rPr>
        <w:t xml:space="preserve">1. Dataminimalisatie (Art. 5.1.c): </w:t>
      </w:r>
      <w:r>
        <w:rPr>
          <w:color w:val="0F172A"/>
          <w:sz w:val="20"/>
        </w:rPr>
        <w:t>Het platform hanteert strikte dataminimalisatie. Van bezoekers (cliënten) worden uitsluitend voornaam of initialen genoteerd. Gevoelige persoonsgegevens (zoals rijksregisternummers, geboortedata of medische dossiers) worden nergens verzameld of opgeslagen.</w:t>
      </w:r>
    </w:p>
    <w:p>
      <w:pPr>
        <w:pStyle w:val="ListBullet"/>
        <w:spacing w:before="20" w:after="60" w:line="276" w:lineRule="auto"/>
      </w:pPr>
      <w:r>
        <w:rPr>
          <w:b/>
          <w:color w:val="0F172A"/>
          <w:sz w:val="20"/>
        </w:rPr>
        <w:t xml:space="preserve">2. Doelbinding &amp; Multi-Tenancy (Art. 5.1.b): </w:t>
      </w:r>
      <w:r>
        <w:rPr>
          <w:color w:val="0F172A"/>
          <w:sz w:val="20"/>
        </w:rPr>
        <w:t>Multi-tenant datamodellen garanderen dat persoonsgegevens van vrijwilligers en cliënten van Gemeente A onder geen beding zichtbaar zijn voor gebruikers van Gemeente B.</w:t>
      </w:r>
    </w:p>
    <w:p>
      <w:pPr>
        <w:pStyle w:val="ListBullet"/>
        <w:spacing w:before="20" w:after="60" w:line="276" w:lineRule="auto"/>
      </w:pPr>
      <w:r>
        <w:rPr>
          <w:b/>
          <w:color w:val="0F172A"/>
          <w:sz w:val="20"/>
        </w:rPr>
        <w:t xml:space="preserve">3. Opslagbeperking op Backups (Art. 5.1.e): </w:t>
      </w:r>
      <w:r>
        <w:rPr>
          <w:color w:val="0F172A"/>
          <w:sz w:val="20"/>
        </w:rPr>
        <w:t>Het nieuwe Grootvader-Vader-Zoon (GFS) retentiesysteem op database-backups verwijdert automatisch verouderde productiedumps (7d / 4w / 2m), waardoor back-updata niet oneindig bewaard blijft.</w:t>
      </w:r>
    </w:p>
    <w:p>
      <w:pPr>
        <w:pStyle w:val="ListBullet"/>
        <w:spacing w:before="20" w:after="60" w:line="276" w:lineRule="auto"/>
      </w:pPr>
      <w:r>
        <w:rPr>
          <w:b/>
          <w:color w:val="0F172A"/>
          <w:sz w:val="20"/>
        </w:rPr>
        <w:t xml:space="preserve">4. Recht op Rectificatie (Art. 16): </w:t>
      </w:r>
      <w:r>
        <w:rPr>
          <w:color w:val="0F172A"/>
          <w:sz w:val="20"/>
        </w:rPr>
        <w:t>Auteurs en Digidokters kunnen ingediende evaluatiereacties rechtstreeks corrigeren via de nieuwe mutatiemodule.</w:t>
      </w:r>
    </w:p>
    <w:p>
      <w:pPr>
        <w:pStyle w:val="ListBullet"/>
        <w:spacing w:before="20" w:after="60" w:line="276" w:lineRule="auto"/>
      </w:pPr>
      <w:r>
        <w:rPr>
          <w:b/>
          <w:color w:val="0F172A"/>
          <w:sz w:val="20"/>
        </w:rPr>
        <w:t xml:space="preserve">5. Privacy by Design / Default (Art. 25): </w:t>
      </w:r>
      <w:r>
        <w:rPr>
          <w:color w:val="0F172A"/>
          <w:sz w:val="20"/>
        </w:rPr>
        <w:t>De interface toont een opvallende visuele badge wanneer het productieschema actief is, om verwarring tussen test- en echte persoonsgegevens te voorkomen.</w:t>
      </w:r>
    </w:p>
    <w:p>
      <w:pPr>
        <w:pStyle w:val="ListBullet"/>
        <w:spacing w:before="20" w:after="60" w:line="276" w:lineRule="auto"/>
      </w:pPr>
      <w:r>
        <w:rPr>
          <w:b/>
          <w:color w:val="0F172A"/>
          <w:sz w:val="20"/>
        </w:rPr>
        <w:t xml:space="preserve">6. Toegangsbeveiliging &amp; RBAC (Art. 32): </w:t>
      </w:r>
      <w:r>
        <w:rPr>
          <w:color w:val="0F172A"/>
          <w:sz w:val="20"/>
        </w:rPr>
        <w:t>De introductie van de 'lezer'-rol waarborgt het principe van minimale privileges (Least Privilege).</w:t>
      </w:r>
    </w:p>
    <w:p>
      <w:pPr>
        <w:keepNext/>
        <w:spacing w:before="360" w:after="160"/>
      </w:pPr>
      <w:r>
        <w:rPr>
          <w:b/>
          <w:color w:val="0F4C81"/>
          <w:sz w:val="32"/>
        </w:rPr>
        <w:t>2. Verwerkingscontext &amp; Categorieën Persoonsgegevens</w:t>
      </w:r>
    </w:p>
    <w:p>
      <w:pPr>
        <w:spacing w:before="0" w:after="120" w:line="276" w:lineRule="auto"/>
      </w:pPr>
      <w:r>
        <w:rPr>
          <w:i w:val="0"/>
          <w:color w:val="0F172A"/>
          <w:sz w:val="20"/>
        </w:rPr>
        <w:t>Digidokters fungeert als digitaal platform ter ondersteuning van lokale besturen (gemeenten, steden, bibliotheken en welzijnsverenigingen) bij het organiseren en registreren van digitale hulpverlening (Digipunten).</w:t>
      </w:r>
    </w:p>
    <w:p>
      <w:pPr>
        <w:keepNext/>
        <w:spacing w:before="280" w:after="120"/>
      </w:pPr>
      <w:r>
        <w:rPr>
          <w:b/>
          <w:color w:val="0284C7"/>
          <w:sz w:val="26"/>
        </w:rPr>
        <w:t>2.1 Rollen onder de AVG</w:t>
      </w:r>
    </w:p>
    <w:p>
      <w:pPr>
        <w:pStyle w:val="ListBullet"/>
        <w:spacing w:before="20" w:after="60" w:line="276" w:lineRule="auto"/>
      </w:pPr>
      <w:r>
        <w:rPr>
          <w:b/>
          <w:color w:val="0F172A"/>
          <w:sz w:val="20"/>
        </w:rPr>
        <w:t xml:space="preserve">Verwerkingsverantwoordelijke: </w:t>
      </w:r>
      <w:r>
        <w:rPr>
          <w:color w:val="0F172A"/>
          <w:sz w:val="20"/>
        </w:rPr>
        <w:t>De deelnemende gemeente of partnerorganisatie bepaalt het doel en de middelen van de gegevensverwerking binnen haar eigen werking en is de Verwerkingsverantwoordelijke (Data Controller).</w:t>
      </w:r>
    </w:p>
    <w:p>
      <w:pPr>
        <w:pStyle w:val="ListBullet"/>
        <w:spacing w:before="20" w:after="60" w:line="276" w:lineRule="auto"/>
      </w:pPr>
      <w:r>
        <w:rPr>
          <w:b/>
          <w:color w:val="0F172A"/>
          <w:sz w:val="20"/>
        </w:rPr>
        <w:t xml:space="preserve">Verwerker: </w:t>
      </w:r>
      <w:r>
        <w:rPr>
          <w:color w:val="0F172A"/>
          <w:sz w:val="20"/>
        </w:rPr>
        <w:t>Het Digidokters platform en de hostende infrastructuur faciliteren de veilige verwerking en treden op als Verwerker (Data Processor).</w:t>
      </w:r>
    </w:p>
    <w:p>
      <w:pPr>
        <w:keepNext/>
        <w:spacing w:before="280" w:after="120"/>
      </w:pPr>
      <w:r>
        <w:rPr>
          <w:b/>
          <w:color w:val="0284C7"/>
          <w:sz w:val="26"/>
        </w:rPr>
        <w:t>2.2 Overzicht van Verwerkte Persoonsgegevens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2351"/>
        <w:gridCol w:w="2351"/>
        <w:gridCol w:w="2351"/>
        <w:gridCol w:w="2351"/>
      </w:tblGrid>
      <w:tr>
        <w:tc>
          <w:tcPr>
            <w:tcW w:type="dxa" w:w="1984"/>
            <w:shd w:fill="0F4C81"/>
            <w:tcMar>
              <w:top w:w="160" w:type="dxa"/>
              <w:bottom w:w="160" w:type="dxa"/>
              <w:left w:w="180" w:type="dxa"/>
              <w:right w:w="180" w:type="dxa"/>
            </w:tcMar>
          </w:tcPr>
          <w:p>
            <w:pPr>
              <w:jc w:val="left"/>
            </w:pPr>
            <w:r>
              <w:rPr>
                <w:b/>
                <w:color w:val="FFFFFF"/>
                <w:sz w:val="19"/>
              </w:rPr>
              <w:t>Betrokkene</w:t>
            </w:r>
          </w:p>
        </w:tc>
        <w:tc>
          <w:tcPr>
            <w:tcW w:type="dxa" w:w="2721"/>
            <w:shd w:fill="0F4C81"/>
            <w:tcMar>
              <w:top w:w="160" w:type="dxa"/>
              <w:bottom w:w="160" w:type="dxa"/>
              <w:left w:w="180" w:type="dxa"/>
              <w:right w:w="180" w:type="dxa"/>
            </w:tcMar>
          </w:tcPr>
          <w:p>
            <w:pPr>
              <w:jc w:val="left"/>
            </w:pPr>
            <w:r>
              <w:rPr>
                <w:b/>
                <w:color w:val="FFFFFF"/>
                <w:sz w:val="19"/>
              </w:rPr>
              <w:t>Verwerkte Gegevens</w:t>
            </w:r>
          </w:p>
        </w:tc>
        <w:tc>
          <w:tcPr>
            <w:tcW w:type="dxa" w:w="2551"/>
            <w:shd w:fill="0F4C81"/>
            <w:tcMar>
              <w:top w:w="160" w:type="dxa"/>
              <w:bottom w:w="160" w:type="dxa"/>
              <w:left w:w="180" w:type="dxa"/>
              <w:right w:w="180" w:type="dxa"/>
            </w:tcMar>
          </w:tcPr>
          <w:p>
            <w:pPr>
              <w:jc w:val="left"/>
            </w:pPr>
            <w:r>
              <w:rPr>
                <w:b/>
                <w:color w:val="FFFFFF"/>
                <w:sz w:val="19"/>
              </w:rPr>
              <w:t>Verwerkingsdoel</w:t>
            </w:r>
          </w:p>
        </w:tc>
        <w:tc>
          <w:tcPr>
            <w:tcW w:type="dxa" w:w="2098"/>
            <w:shd w:fill="0F4C81"/>
            <w:tcMar>
              <w:top w:w="160" w:type="dxa"/>
              <w:bottom w:w="160" w:type="dxa"/>
              <w:left w:w="180" w:type="dxa"/>
              <w:right w:w="180" w:type="dxa"/>
            </w:tcMar>
          </w:tcPr>
          <w:p>
            <w:pPr>
              <w:jc w:val="left"/>
            </w:pPr>
            <w:r>
              <w:rPr>
                <w:b/>
                <w:color w:val="FFFFFF"/>
                <w:sz w:val="19"/>
              </w:rPr>
              <w:t>Rechtsgrond (Art. 6)</w:t>
            </w:r>
          </w:p>
        </w:tc>
      </w:tr>
      <w:tr>
        <w:tc>
          <w:tcPr>
            <w:tcW w:type="dxa" w:w="1984"/>
            <w:shd w:fill="FFFFFF"/>
            <w:tcMar>
              <w:top w:w="120" w:type="dxa"/>
              <w:bottom w:w="120" w:type="dxa"/>
              <w:left w:w="160" w:type="dxa"/>
              <w:right w:w="160" w:type="dxa"/>
            </w:tcMar>
          </w:tcPr>
          <w:p>
            <w:r>
              <w:rPr>
                <w:color w:val="0F172A"/>
                <w:sz w:val="18"/>
              </w:rPr>
              <w:t>Bezoekers / Cliënten</w:t>
            </w:r>
          </w:p>
        </w:tc>
        <w:tc>
          <w:tcPr>
            <w:tcW w:type="dxa" w:w="2721"/>
            <w:shd w:fill="FFFFFF"/>
            <w:tcMar>
              <w:top w:w="120" w:type="dxa"/>
              <w:bottom w:w="120" w:type="dxa"/>
              <w:left w:w="160" w:type="dxa"/>
              <w:right w:w="160" w:type="dxa"/>
            </w:tcMar>
          </w:tcPr>
          <w:p>
            <w:r>
              <w:rPr>
                <w:color w:val="0F172A"/>
                <w:sz w:val="18"/>
              </w:rPr>
              <w:t>Voornaam of initialen, leeftijdscategorie (geaggregeerd), digitaal toesteltype, vraagcategorie, herkomst.</w:t>
            </w:r>
          </w:p>
        </w:tc>
        <w:tc>
          <w:tcPr>
            <w:tcW w:type="dxa" w:w="2551"/>
            <w:shd w:fill="FFFFFF"/>
            <w:tcMar>
              <w:top w:w="120" w:type="dxa"/>
              <w:bottom w:w="120" w:type="dxa"/>
              <w:left w:w="160" w:type="dxa"/>
              <w:right w:w="160" w:type="dxa"/>
            </w:tcMar>
          </w:tcPr>
          <w:p>
            <w:r>
              <w:rPr>
                <w:color w:val="0F172A"/>
                <w:sz w:val="18"/>
              </w:rPr>
              <w:t>Registratie van hulpvragen en opstellen van geaggregeerde gemeentelijke werkingsrapporten.</w:t>
            </w:r>
          </w:p>
        </w:tc>
        <w:tc>
          <w:tcPr>
            <w:tcW w:type="dxa" w:w="2098"/>
            <w:shd w:fill="FFFFFF"/>
            <w:tcMar>
              <w:top w:w="120" w:type="dxa"/>
              <w:bottom w:w="120" w:type="dxa"/>
              <w:left w:w="160" w:type="dxa"/>
              <w:right w:w="160" w:type="dxa"/>
            </w:tcMar>
          </w:tcPr>
          <w:p>
            <w:r>
              <w:rPr>
                <w:color w:val="0F172A"/>
                <w:sz w:val="18"/>
              </w:rPr>
              <w:t>Gerechtvaardigd belang / Taak van algemeen belang (Art. 6.1.e/f)</w:t>
            </w:r>
          </w:p>
        </w:tc>
      </w:tr>
      <w:tr>
        <w:tc>
          <w:tcPr>
            <w:tcW w:type="dxa" w:w="1984"/>
            <w:shd w:fill="F0F7FF"/>
            <w:tcMar>
              <w:top w:w="120" w:type="dxa"/>
              <w:bottom w:w="120" w:type="dxa"/>
              <w:left w:w="160" w:type="dxa"/>
              <w:right w:w="160" w:type="dxa"/>
            </w:tcMar>
          </w:tcPr>
          <w:p>
            <w:r>
              <w:rPr>
                <w:color w:val="0F172A"/>
                <w:sz w:val="18"/>
              </w:rPr>
              <w:t>Digidokters (Vrijwilligers)</w:t>
            </w:r>
          </w:p>
        </w:tc>
        <w:tc>
          <w:tcPr>
            <w:tcW w:type="dxa" w:w="2721"/>
            <w:shd w:fill="F0F7FF"/>
            <w:tcMar>
              <w:top w:w="120" w:type="dxa"/>
              <w:bottom w:w="120" w:type="dxa"/>
              <w:left w:w="160" w:type="dxa"/>
              <w:right w:w="160" w:type="dxa"/>
            </w:tcMar>
          </w:tcPr>
          <w:p>
            <w:r>
              <w:rPr>
                <w:color w:val="0F172A"/>
                <w:sz w:val="18"/>
              </w:rPr>
              <w:t>Naam, e-mailadres, telefoon (optioneel), expertisegebieden, gekoppelde sessies, evaluatieresultaten.</w:t>
            </w:r>
          </w:p>
        </w:tc>
        <w:tc>
          <w:tcPr>
            <w:tcW w:type="dxa" w:w="2551"/>
            <w:shd w:fill="F0F7FF"/>
            <w:tcMar>
              <w:top w:w="120" w:type="dxa"/>
              <w:bottom w:w="120" w:type="dxa"/>
              <w:left w:w="160" w:type="dxa"/>
              <w:right w:w="160" w:type="dxa"/>
            </w:tcMar>
          </w:tcPr>
          <w:p>
            <w:r>
              <w:rPr>
                <w:color w:val="0F172A"/>
                <w:sz w:val="18"/>
              </w:rPr>
              <w:t>Planning van sessies, communicatie, uitnodigingen voor kwaliteitsmeting en evaluatie.</w:t>
            </w:r>
          </w:p>
        </w:tc>
        <w:tc>
          <w:tcPr>
            <w:tcW w:type="dxa" w:w="2098"/>
            <w:shd w:fill="F0F7FF"/>
            <w:tcMar>
              <w:top w:w="120" w:type="dxa"/>
              <w:bottom w:w="120" w:type="dxa"/>
              <w:left w:w="160" w:type="dxa"/>
              <w:right w:w="160" w:type="dxa"/>
            </w:tcMar>
          </w:tcPr>
          <w:p>
            <w:r>
              <w:rPr>
                <w:color w:val="0F172A"/>
                <w:sz w:val="18"/>
              </w:rPr>
              <w:t>Uitvoering van de overeenkomst / Vrijwilligersstatuut (Art. 6.1.b)</w:t>
            </w:r>
          </w:p>
        </w:tc>
      </w:tr>
      <w:tr>
        <w:tc>
          <w:tcPr>
            <w:tcW w:type="dxa" w:w="1984"/>
            <w:shd w:fill="FFFFFF"/>
            <w:tcMar>
              <w:top w:w="120" w:type="dxa"/>
              <w:bottom w:w="120" w:type="dxa"/>
              <w:left w:w="160" w:type="dxa"/>
              <w:right w:w="160" w:type="dxa"/>
            </w:tcMar>
          </w:tcPr>
          <w:p>
            <w:r>
              <w:rPr>
                <w:color w:val="0F172A"/>
                <w:sz w:val="18"/>
              </w:rPr>
              <w:t>Medewerkers &amp; Beheerders</w:t>
            </w:r>
          </w:p>
        </w:tc>
        <w:tc>
          <w:tcPr>
            <w:tcW w:type="dxa" w:w="2721"/>
            <w:shd w:fill="FFFFFF"/>
            <w:tcMar>
              <w:top w:w="120" w:type="dxa"/>
              <w:bottom w:w="120" w:type="dxa"/>
              <w:left w:w="160" w:type="dxa"/>
              <w:right w:w="160" w:type="dxa"/>
            </w:tcMar>
          </w:tcPr>
          <w:p>
            <w:r>
              <w:rPr>
                <w:color w:val="0F172A"/>
                <w:sz w:val="18"/>
              </w:rPr>
              <w:t>Naam, zakelijk e-mailadres, versleuteld wachtwoord (Scrypt hash), rol, actieve organisatie, logintijdstip.</w:t>
            </w:r>
          </w:p>
        </w:tc>
        <w:tc>
          <w:tcPr>
            <w:tcW w:type="dxa" w:w="2551"/>
            <w:shd w:fill="FFFFFF"/>
            <w:tcMar>
              <w:top w:w="120" w:type="dxa"/>
              <w:bottom w:w="120" w:type="dxa"/>
              <w:left w:w="160" w:type="dxa"/>
              <w:right w:w="160" w:type="dxa"/>
            </w:tcMar>
          </w:tcPr>
          <w:p>
            <w:r>
              <w:rPr>
                <w:color w:val="0F172A"/>
                <w:sz w:val="18"/>
              </w:rPr>
              <w:t>Toegangsbeheer, authenticatie, autorisatie en beveiligingsaudits.</w:t>
            </w:r>
          </w:p>
        </w:tc>
        <w:tc>
          <w:tcPr>
            <w:tcW w:type="dxa" w:w="2098"/>
            <w:shd w:fill="FFFFFF"/>
            <w:tcMar>
              <w:top w:w="120" w:type="dxa"/>
              <w:bottom w:w="120" w:type="dxa"/>
              <w:left w:w="160" w:type="dxa"/>
              <w:right w:w="160" w:type="dxa"/>
            </w:tcMar>
          </w:tcPr>
          <w:p>
            <w:r>
              <w:rPr>
                <w:color w:val="0F172A"/>
                <w:sz w:val="18"/>
              </w:rPr>
              <w:t>Uitvoering van de overeenkomst / Gerechtvaardigd belang (Art. 6.1.b/f)</w:t>
            </w:r>
          </w:p>
        </w:tc>
      </w:tr>
      <w:tr>
        <w:tc>
          <w:tcPr>
            <w:tcW w:type="dxa" w:w="1984"/>
            <w:shd w:fill="F0F7FF"/>
            <w:tcMar>
              <w:top w:w="120" w:type="dxa"/>
              <w:bottom w:w="120" w:type="dxa"/>
              <w:left w:w="160" w:type="dxa"/>
              <w:right w:w="160" w:type="dxa"/>
            </w:tcMar>
          </w:tcPr>
          <w:p>
            <w:r>
              <w:rPr>
                <w:color w:val="0F172A"/>
                <w:sz w:val="18"/>
              </w:rPr>
              <w:t>Feedback &amp; Documenten</w:t>
            </w:r>
          </w:p>
        </w:tc>
        <w:tc>
          <w:tcPr>
            <w:tcW w:type="dxa" w:w="2721"/>
            <w:shd w:fill="F0F7FF"/>
            <w:tcMar>
              <w:top w:w="120" w:type="dxa"/>
              <w:bottom w:w="120" w:type="dxa"/>
              <w:left w:w="160" w:type="dxa"/>
              <w:right w:w="160" w:type="dxa"/>
            </w:tcMar>
          </w:tcPr>
          <w:p>
            <w:r>
              <w:rPr>
                <w:color w:val="0F172A"/>
                <w:sz w:val="18"/>
              </w:rPr>
              <w:t>Auteur-ID, optionele screenshots (gefilterd op PII), gedeelde organisatiedocumenten en sjablonen.</w:t>
            </w:r>
          </w:p>
        </w:tc>
        <w:tc>
          <w:tcPr>
            <w:tcW w:type="dxa" w:w="2551"/>
            <w:shd w:fill="F0F7FF"/>
            <w:tcMar>
              <w:top w:w="120" w:type="dxa"/>
              <w:bottom w:w="120" w:type="dxa"/>
              <w:left w:w="160" w:type="dxa"/>
              <w:right w:w="160" w:type="dxa"/>
            </w:tcMar>
          </w:tcPr>
          <w:p>
            <w:r>
              <w:rPr>
                <w:color w:val="0F172A"/>
                <w:sz w:val="18"/>
              </w:rPr>
              <w:t>Interne kwaliteitsverbetering, foutopsporing en kennisdeling binnen de organisatie.</w:t>
            </w:r>
          </w:p>
        </w:tc>
        <w:tc>
          <w:tcPr>
            <w:tcW w:type="dxa" w:w="2098"/>
            <w:shd w:fill="F0F7FF"/>
            <w:tcMar>
              <w:top w:w="120" w:type="dxa"/>
              <w:bottom w:w="120" w:type="dxa"/>
              <w:left w:w="160" w:type="dxa"/>
              <w:right w:w="160" w:type="dxa"/>
            </w:tcMar>
          </w:tcPr>
          <w:p>
            <w:r>
              <w:rPr>
                <w:color w:val="0F172A"/>
                <w:sz w:val="18"/>
              </w:rPr>
              <w:t>Gerechtvaardigd belang (Art. 6.1.f)</w:t>
            </w:r>
          </w:p>
        </w:tc>
      </w:tr>
    </w:tbl>
    <w:p>
      <w:pPr>
        <w:spacing w:after="120"/>
      </w:pPr>
    </w:p>
    <w:p>
      <w:pPr>
        <w:keepNext/>
        <w:spacing w:before="360" w:after="160"/>
      </w:pPr>
      <w:r>
        <w:rPr>
          <w:b/>
          <w:color w:val="0F4C81"/>
          <w:sz w:val="32"/>
        </w:rPr>
        <w:t>3. Toetsing aan de AVG Basisbeginselen (Art. 5 AVG)</w:t>
      </w:r>
    </w:p>
    <w:p>
      <w:pPr>
        <w:keepNext/>
        <w:spacing w:before="280" w:after="120"/>
      </w:pPr>
      <w:r>
        <w:rPr>
          <w:b/>
          <w:color w:val="0284C7"/>
          <w:sz w:val="26"/>
        </w:rPr>
        <w:t>3.1 Rechtmatigheid, Behoorlijkheid en Transparantie (Art. 5.1.a)</w:t>
      </w:r>
    </w:p>
    <w:p>
      <w:pPr>
        <w:spacing w:before="0" w:after="120" w:line="276" w:lineRule="auto"/>
      </w:pPr>
      <w:r>
        <w:rPr>
          <w:i w:val="0"/>
          <w:color w:val="0F172A"/>
          <w:sz w:val="20"/>
        </w:rPr>
        <w:t>De gegevensverwerking steunt op legitieme rechtsgronden. Betrokkenen worden op duidelijke en begrijpelijke wijze geïnformeerd:</w:t>
      </w:r>
    </w:p>
    <w:p>
      <w:pPr>
        <w:pStyle w:val="ListBullet"/>
        <w:spacing w:before="20" w:after="60" w:line="276" w:lineRule="auto"/>
      </w:pPr>
      <w:r>
        <w:rPr>
          <w:b/>
          <w:color w:val="0F172A"/>
          <w:sz w:val="20"/>
        </w:rPr>
        <w:t xml:space="preserve">Centrale Privacy Modal: </w:t>
      </w:r>
      <w:r>
        <w:rPr>
          <w:color w:val="0F172A"/>
          <w:sz w:val="20"/>
        </w:rPr>
        <w:t>In het hoofdmenu is via de knop 'Privacy &amp; AVG' een centrale modal (templates/base.html) beschikbaar met toelichting op de 6 verwerkingsthema's.</w:t>
      </w:r>
    </w:p>
    <w:p>
      <w:pPr>
        <w:pStyle w:val="ListBullet"/>
        <w:spacing w:before="20" w:after="60" w:line="276" w:lineRule="auto"/>
      </w:pPr>
      <w:r>
        <w:rPr>
          <w:b/>
          <w:color w:val="0F172A"/>
          <w:sz w:val="20"/>
        </w:rPr>
        <w:t xml:space="preserve">Evaluatieformulier Transparantie: </w:t>
      </w:r>
      <w:r>
        <w:rPr>
          <w:color w:val="0F172A"/>
          <w:sz w:val="20"/>
        </w:rPr>
        <w:t>Op het publieke evaluatieformulier (templates/evaluaties/invullen.html) staat een expliciete Art. 13 transparantieverklaring over het doel van de evaluatie.</w:t>
      </w:r>
    </w:p>
    <w:p>
      <w:pPr>
        <w:pStyle w:val="ListBullet"/>
        <w:spacing w:before="20" w:after="60" w:line="276" w:lineRule="auto"/>
      </w:pPr>
      <w:r>
        <w:rPr>
          <w:b/>
          <w:color w:val="0F172A"/>
          <w:sz w:val="20"/>
        </w:rPr>
        <w:t xml:space="preserve">Feedback Upload Waarschuwing: </w:t>
      </w:r>
      <w:r>
        <w:rPr>
          <w:color w:val="0F172A"/>
          <w:sz w:val="20"/>
        </w:rPr>
        <w:t>Op het feedbackformulier (templates/feedback/form.html) waarschuwt een prominente privacy-attentie tegen het uploaden van persoonsgegevens in screenshots.</w:t>
      </w:r>
    </w:p>
    <w:p>
      <w:pPr>
        <w:keepNext/>
        <w:spacing w:before="280" w:after="120"/>
      </w:pPr>
      <w:r>
        <w:rPr>
          <w:b/>
          <w:color w:val="0284C7"/>
          <w:sz w:val="26"/>
        </w:rPr>
        <w:t>3.2 Doelbinding (Art. 5.1.b)</w:t>
      </w:r>
    </w:p>
    <w:p>
      <w:pPr>
        <w:spacing w:before="0" w:after="120" w:line="276" w:lineRule="auto"/>
      </w:pPr>
      <w:r>
        <w:rPr>
          <w:i w:val="0"/>
          <w:color w:val="0F172A"/>
          <w:sz w:val="20"/>
        </w:rPr>
        <w:t>Gegevens worden uitsluitend verzameld voor vooraf vastgestelde, uitdrukkelijk omschreven en gerechtvaardigde doeleinden (sessiebeheer, kwaliteitsmonitoring en platformverbetering). Doelverschuiving is technisch onmogelijk gemaakt.</w:t>
      </w:r>
    </w:p>
    <w:p>
      <w:pPr>
        <w:keepNext/>
        <w:spacing w:before="280" w:after="120"/>
      </w:pPr>
      <w:r>
        <w:rPr>
          <w:b/>
          <w:color w:val="0284C7"/>
          <w:sz w:val="26"/>
        </w:rPr>
        <w:t>3.3 Dataminimalisatie (Art. 5.1.c)</w:t>
      </w:r>
    </w:p>
    <w:p>
      <w:pPr>
        <w:spacing w:before="0" w:after="120" w:line="276" w:lineRule="auto"/>
      </w:pPr>
      <w:r>
        <w:rPr>
          <w:i w:val="0"/>
          <w:color w:val="0F172A"/>
          <w:sz w:val="20"/>
        </w:rPr>
        <w:t>Het platform verwerkt uitsluitend gegevens die toereikend, ter zake dienend en beperkt zijn tot wat noodzakelijk is:</w:t>
      </w:r>
    </w:p>
    <w:p>
      <w:pPr>
        <w:pStyle w:val="ListBullet"/>
        <w:spacing w:before="20" w:after="60" w:line="276" w:lineRule="auto"/>
      </w:pPr>
      <w:r>
        <w:rPr>
          <w:b/>
          <w:color w:val="0F172A"/>
          <w:sz w:val="20"/>
        </w:rPr>
        <w:t xml:space="preserve">Cliëntgegevens: </w:t>
      </w:r>
      <w:r>
        <w:rPr>
          <w:color w:val="0F172A"/>
          <w:sz w:val="20"/>
        </w:rPr>
        <w:t>Bij cliëntregistraties wordt in de interface en in de validatielaag afgedwongen dat uitsluitend een voornaam of initialen worden ingevoerd.</w:t>
      </w:r>
    </w:p>
    <w:p>
      <w:pPr>
        <w:pStyle w:val="ListBullet"/>
        <w:spacing w:before="20" w:after="60" w:line="276" w:lineRule="auto"/>
      </w:pPr>
      <w:r>
        <w:rPr>
          <w:b/>
          <w:color w:val="0F172A"/>
          <w:sz w:val="20"/>
        </w:rPr>
        <w:t xml:space="preserve">Uitsluiting Bijzondere Categorieën: </w:t>
      </w:r>
      <w:r>
        <w:rPr>
          <w:color w:val="0F172A"/>
          <w:sz w:val="20"/>
        </w:rPr>
        <w:t>Er worden geen rijksregisternummers, geboortedata, exacte woonadressen, financiële of medische gegevens geregistreerd.</w:t>
      </w:r>
    </w:p>
    <w:p>
      <w:pPr>
        <w:keepNext/>
        <w:spacing w:before="280" w:after="120"/>
      </w:pPr>
      <w:r>
        <w:rPr>
          <w:b/>
          <w:color w:val="0284C7"/>
          <w:sz w:val="26"/>
        </w:rPr>
        <w:t>3.4 Juistheid &amp; Kwaliteit (Art. 5.1.d)</w:t>
      </w:r>
    </w:p>
    <w:p>
      <w:pPr>
        <w:spacing w:before="0" w:after="120" w:line="276" w:lineRule="auto"/>
      </w:pPr>
      <w:r>
        <w:rPr>
          <w:i w:val="0"/>
          <w:color w:val="0F172A"/>
          <w:sz w:val="20"/>
        </w:rPr>
        <w:t>Beheerders en medewerkers kunnen gegevens te allen tijde corrigeren via de beheerinterfaces. Met de recente uitbreiding in routes/evaluations.py kunnen digidokters en auteurs tevens eerder ingediende evaluatieresponses aanpassen om de juistheid te waarborgen.</w:t>
      </w:r>
    </w:p>
    <w:p>
      <w:pPr>
        <w:keepNext/>
        <w:spacing w:before="280" w:after="120"/>
      </w:pPr>
      <w:r>
        <w:rPr>
          <w:b/>
          <w:color w:val="0284C7"/>
          <w:sz w:val="26"/>
        </w:rPr>
        <w:t>3.5 Opslagbeperking &amp; Bewaartermijnen (Art. 5.1.e)</w:t>
      </w:r>
    </w:p>
    <w:p>
      <w:pPr>
        <w:spacing w:before="0" w:after="120" w:line="276" w:lineRule="auto"/>
      </w:pPr>
      <w:r>
        <w:rPr>
          <w:i w:val="0"/>
          <w:color w:val="0F172A"/>
          <w:sz w:val="20"/>
        </w:rPr>
        <w:t>Persoonsgegevens worden niet langer bewaard dan noodzakelijk:</w:t>
      </w:r>
    </w:p>
    <w:p>
      <w:pPr>
        <w:pStyle w:val="ListBullet"/>
        <w:spacing w:before="20" w:after="60" w:line="276" w:lineRule="auto"/>
      </w:pPr>
      <w:r>
        <w:rPr>
          <w:b/>
          <w:color w:val="0F172A"/>
          <w:sz w:val="20"/>
        </w:rPr>
        <w:t xml:space="preserve">Database Backup Retentie: </w:t>
      </w:r>
      <w:r>
        <w:rPr>
          <w:color w:val="0F172A"/>
          <w:sz w:val="20"/>
        </w:rPr>
        <w:t>Het nieuwe script scripts/sync_productie_naar_lokaal.py implementeert een strikt GFS-retentieschema (7 dagelijkse, 4 wekelijkse, 2 maandelijkse dumps). Oudere backups worden automatisch permanent gewist van de schijf.</w:t>
      </w:r>
    </w:p>
    <w:p>
      <w:pPr>
        <w:pStyle w:val="ListBullet"/>
        <w:spacing w:before="20" w:after="60" w:line="276" w:lineRule="auto"/>
      </w:pPr>
      <w:r>
        <w:rPr>
          <w:b/>
          <w:color w:val="0F172A"/>
          <w:sz w:val="20"/>
        </w:rPr>
        <w:t xml:space="preserve">Tijdelijke Tokens: </w:t>
      </w:r>
      <w:r>
        <w:rPr>
          <w:color w:val="0F172A"/>
          <w:sz w:val="20"/>
        </w:rPr>
        <w:t>Wachtwoordherstelcodes vervallen automatisch na 30 minuten. Evaluatietokens zijn eenmalig geldig.</w:t>
      </w:r>
    </w:p>
    <w:p>
      <w:pPr>
        <w:pStyle w:val="ListBullet"/>
        <w:spacing w:before="20" w:after="60" w:line="276" w:lineRule="auto"/>
      </w:pPr>
      <w:r>
        <w:rPr>
          <w:b/>
          <w:color w:val="0F172A"/>
          <w:sz w:val="20"/>
        </w:rPr>
        <w:t xml:space="preserve">Audit Log Opschoning: </w:t>
      </w:r>
      <w:r>
        <w:rPr>
          <w:color w:val="0F172A"/>
          <w:sz w:val="20"/>
        </w:rPr>
        <w:t>Platformbeheerders kunnen auditlogs ouder dan 365 dagen met één handeling veilig opschonen.</w:t>
      </w:r>
    </w:p>
    <w:p>
      <w:pPr>
        <w:keepNext/>
        <w:spacing w:before="280" w:after="120"/>
      </w:pPr>
      <w:r>
        <w:rPr>
          <w:b/>
          <w:color w:val="0284C7"/>
          <w:sz w:val="26"/>
        </w:rPr>
        <w:t>3.6 Integriteit en Vertrouwelijkheid (Art. 5.1.f)</w:t>
      </w:r>
    </w:p>
    <w:p>
      <w:pPr>
        <w:spacing w:before="0" w:after="120" w:line="276" w:lineRule="auto"/>
      </w:pPr>
      <w:r>
        <w:rPr>
          <w:i w:val="0"/>
          <w:color w:val="0F172A"/>
          <w:sz w:val="20"/>
        </w:rPr>
        <w:t>Het platform beveiligt gegevens door middel van passende technische en organisatorische maatregelen:</w:t>
      </w:r>
    </w:p>
    <w:p>
      <w:pPr>
        <w:pStyle w:val="ListBullet"/>
        <w:spacing w:before="20" w:after="60" w:line="276" w:lineRule="auto"/>
      </w:pPr>
      <w:r>
        <w:rPr>
          <w:b/>
          <w:color w:val="0F172A"/>
          <w:sz w:val="20"/>
        </w:rPr>
        <w:t xml:space="preserve">Multi-Tenancy: </w:t>
      </w:r>
      <w:r>
        <w:rPr>
          <w:color w:val="0F172A"/>
          <w:sz w:val="20"/>
        </w:rPr>
        <w:t>Multi-tenant database-isolatie filtert elke query op organisatie_id.</w:t>
      </w:r>
    </w:p>
    <w:p>
      <w:pPr>
        <w:pStyle w:val="ListBullet"/>
        <w:spacing w:before="20" w:after="60" w:line="276" w:lineRule="auto"/>
      </w:pPr>
      <w:r>
        <w:rPr>
          <w:b/>
          <w:color w:val="0F172A"/>
          <w:sz w:val="20"/>
        </w:rPr>
        <w:t xml:space="preserve">Cryptografie: </w:t>
      </w:r>
      <w:r>
        <w:rPr>
          <w:color w:val="0F172A"/>
          <w:sz w:val="20"/>
        </w:rPr>
        <w:t>Wachtwoordhashing via Scrypt/Pbkdf2 met unieke salts (Werkzeug).</w:t>
      </w:r>
    </w:p>
    <w:p>
      <w:pPr>
        <w:pStyle w:val="ListBullet"/>
        <w:spacing w:before="20" w:after="60" w:line="276" w:lineRule="auto"/>
      </w:pPr>
      <w:r>
        <w:rPr>
          <w:b/>
          <w:color w:val="0F172A"/>
          <w:sz w:val="20"/>
        </w:rPr>
        <w:t xml:space="preserve">Sandboxing: </w:t>
      </w:r>
      <w:r>
        <w:rPr>
          <w:color w:val="0F172A"/>
          <w:sz w:val="20"/>
        </w:rPr>
        <w:t>Strikte Content-Security-Policy (CSP) en iframe-sandboxing op document- en screenshotweergave.</w:t>
      </w:r>
    </w:p>
    <w:p>
      <w:pPr>
        <w:pStyle w:val="ListBullet"/>
        <w:spacing w:before="20" w:after="60" w:line="276" w:lineRule="auto"/>
      </w:pPr>
      <w:r>
        <w:rPr>
          <w:b/>
          <w:color w:val="0F172A"/>
          <w:sz w:val="20"/>
        </w:rPr>
        <w:t xml:space="preserve">Transportbeveiliging: </w:t>
      </w:r>
      <w:r>
        <w:rPr>
          <w:color w:val="0F172A"/>
          <w:sz w:val="20"/>
        </w:rPr>
        <w:t>Versleutelde databaseverbindingen met embedded CA root certificaat verificatie.</w:t>
      </w:r>
    </w:p>
    <w:p>
      <w:r>
        <w:br w:type="page"/>
      </w:r>
    </w:p>
    <w:p>
      <w:pPr>
        <w:keepNext/>
        <w:spacing w:before="360" w:after="160"/>
      </w:pPr>
      <w:r>
        <w:rPr>
          <w:b/>
          <w:color w:val="0F4C81"/>
          <w:sz w:val="32"/>
        </w:rPr>
        <w:t>4. Rechten van Betrokkenen (Art. 12 - 23 AVG)</w:t>
      </w:r>
    </w:p>
    <w:p>
      <w:pPr>
        <w:spacing w:before="0" w:after="120" w:line="276" w:lineRule="auto"/>
      </w:pPr>
      <w:r>
        <w:rPr>
          <w:i w:val="0"/>
          <w:color w:val="0F172A"/>
          <w:sz w:val="20"/>
        </w:rPr>
        <w:t>Het platform biedt volledige technische ondersteuning om verzoeken van betrokkenen tijdig en doeltreffend te behandelen:</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3135"/>
        <w:gridCol w:w="3135"/>
        <w:gridCol w:w="3135"/>
      </w:tblGrid>
      <w:tr>
        <w:tc>
          <w:tcPr>
            <w:tcW w:type="dxa" w:w="2551"/>
            <w:shd w:fill="0F4C81"/>
            <w:tcMar>
              <w:top w:w="160" w:type="dxa"/>
              <w:bottom w:w="160" w:type="dxa"/>
              <w:left w:w="180" w:type="dxa"/>
              <w:right w:w="180" w:type="dxa"/>
            </w:tcMar>
          </w:tcPr>
          <w:p>
            <w:pPr>
              <w:jc w:val="left"/>
            </w:pPr>
            <w:r>
              <w:rPr>
                <w:b/>
                <w:color w:val="FFFFFF"/>
                <w:sz w:val="19"/>
              </w:rPr>
              <w:t>AVG Recht</w:t>
            </w:r>
          </w:p>
        </w:tc>
        <w:tc>
          <w:tcPr>
            <w:tcW w:type="dxa" w:w="5102"/>
            <w:shd w:fill="0F4C81"/>
            <w:tcMar>
              <w:top w:w="160" w:type="dxa"/>
              <w:bottom w:w="160" w:type="dxa"/>
              <w:left w:w="180" w:type="dxa"/>
              <w:right w:w="180" w:type="dxa"/>
            </w:tcMar>
          </w:tcPr>
          <w:p>
            <w:pPr>
              <w:jc w:val="left"/>
            </w:pPr>
            <w:r>
              <w:rPr>
                <w:b/>
                <w:color w:val="FFFFFF"/>
                <w:sz w:val="19"/>
              </w:rPr>
              <w:t>Geïmplementeerde Functionaliteit in Digidokters</w:t>
            </w:r>
          </w:p>
        </w:tc>
        <w:tc>
          <w:tcPr>
            <w:tcW w:type="dxa" w:w="1984"/>
            <w:shd w:fill="0F4C81"/>
            <w:tcMar>
              <w:top w:w="160" w:type="dxa"/>
              <w:bottom w:w="160" w:type="dxa"/>
              <w:left w:w="180" w:type="dxa"/>
              <w:right w:w="180" w:type="dxa"/>
            </w:tcMar>
          </w:tcPr>
          <w:p>
            <w:pPr>
              <w:jc w:val="left"/>
            </w:pPr>
            <w:r>
              <w:rPr>
                <w:b/>
                <w:color w:val="FFFFFF"/>
                <w:sz w:val="19"/>
              </w:rPr>
              <w:t>Status</w:t>
            </w:r>
          </w:p>
        </w:tc>
      </w:tr>
      <w:tr>
        <w:tc>
          <w:tcPr>
            <w:tcW w:type="dxa" w:w="2551"/>
            <w:shd w:fill="FFFFFF"/>
            <w:tcMar>
              <w:top w:w="120" w:type="dxa"/>
              <w:bottom w:w="120" w:type="dxa"/>
              <w:left w:w="160" w:type="dxa"/>
              <w:right w:w="160" w:type="dxa"/>
            </w:tcMar>
          </w:tcPr>
          <w:p>
            <w:r>
              <w:rPr>
                <w:color w:val="0F172A"/>
                <w:sz w:val="18"/>
              </w:rPr>
              <w:t>Recht op Inzage (Art. 15)</w:t>
            </w:r>
          </w:p>
        </w:tc>
        <w:tc>
          <w:tcPr>
            <w:tcW w:type="dxa" w:w="5102"/>
            <w:shd w:fill="FFFFFF"/>
            <w:tcMar>
              <w:top w:w="120" w:type="dxa"/>
              <w:bottom w:w="120" w:type="dxa"/>
              <w:left w:w="160" w:type="dxa"/>
              <w:right w:w="160" w:type="dxa"/>
            </w:tcMar>
          </w:tcPr>
          <w:p>
            <w:r>
              <w:rPr>
                <w:color w:val="0F172A"/>
                <w:sz w:val="18"/>
              </w:rPr>
              <w:t>Beheerders kunnen alle registraties, digidokterprofielen en evaluaties direct inzien en filteren in de UI.</w:t>
            </w:r>
          </w:p>
        </w:tc>
        <w:tc>
          <w:tcPr>
            <w:tcW w:type="dxa" w:w="1984"/>
            <w:shd w:fill="FFFFFF"/>
            <w:tcMar>
              <w:top w:w="120" w:type="dxa"/>
              <w:bottom w:w="120" w:type="dxa"/>
              <w:left w:w="160" w:type="dxa"/>
              <w:right w:w="160" w:type="dxa"/>
            </w:tcMar>
          </w:tcPr>
          <w:p>
            <w:r>
              <w:rPr>
                <w:color w:val="0F172A"/>
                <w:sz w:val="18"/>
              </w:rPr>
              <w:t>VOLLEDIG ONDERSTEUND</w:t>
            </w:r>
          </w:p>
        </w:tc>
      </w:tr>
      <w:tr>
        <w:tc>
          <w:tcPr>
            <w:tcW w:type="dxa" w:w="2551"/>
            <w:shd w:fill="F0F7FF"/>
            <w:tcMar>
              <w:top w:w="120" w:type="dxa"/>
              <w:bottom w:w="120" w:type="dxa"/>
              <w:left w:w="160" w:type="dxa"/>
              <w:right w:w="160" w:type="dxa"/>
            </w:tcMar>
          </w:tcPr>
          <w:p>
            <w:r>
              <w:rPr>
                <w:color w:val="0F172A"/>
                <w:sz w:val="18"/>
              </w:rPr>
              <w:t>Recht op Rectificatie (Art. 16)</w:t>
            </w:r>
          </w:p>
        </w:tc>
        <w:tc>
          <w:tcPr>
            <w:tcW w:type="dxa" w:w="5102"/>
            <w:shd w:fill="F0F7FF"/>
            <w:tcMar>
              <w:top w:w="120" w:type="dxa"/>
              <w:bottom w:w="120" w:type="dxa"/>
              <w:left w:w="160" w:type="dxa"/>
              <w:right w:w="160" w:type="dxa"/>
            </w:tcMar>
          </w:tcPr>
          <w:p>
            <w:r>
              <w:rPr>
                <w:color w:val="0F172A"/>
                <w:sz w:val="18"/>
              </w:rPr>
              <w:t>Directe bewerkmogelijkheid voor gebruikersprofielen, digidokters en recent toegevoegd voor evaluatiereacties (routes/evaluations.py:reactie_bewerken).</w:t>
            </w:r>
          </w:p>
        </w:tc>
        <w:tc>
          <w:tcPr>
            <w:tcW w:type="dxa" w:w="1984"/>
            <w:shd w:fill="F0F7FF"/>
            <w:tcMar>
              <w:top w:w="120" w:type="dxa"/>
              <w:bottom w:w="120" w:type="dxa"/>
              <w:left w:w="160" w:type="dxa"/>
              <w:right w:w="160" w:type="dxa"/>
            </w:tcMar>
          </w:tcPr>
          <w:p>
            <w:r>
              <w:rPr>
                <w:color w:val="0F172A"/>
                <w:sz w:val="18"/>
              </w:rPr>
              <w:t>VOLLEDIG ONDERSTEUND</w:t>
            </w:r>
          </w:p>
        </w:tc>
      </w:tr>
      <w:tr>
        <w:tc>
          <w:tcPr>
            <w:tcW w:type="dxa" w:w="2551"/>
            <w:shd w:fill="FFFFFF"/>
            <w:tcMar>
              <w:top w:w="120" w:type="dxa"/>
              <w:bottom w:w="120" w:type="dxa"/>
              <w:left w:w="160" w:type="dxa"/>
              <w:right w:w="160" w:type="dxa"/>
            </w:tcMar>
          </w:tcPr>
          <w:p>
            <w:r>
              <w:rPr>
                <w:color w:val="0F172A"/>
                <w:sz w:val="18"/>
              </w:rPr>
              <w:t>Recht op Gegevenswissing / Vergetelheid (Art. 17)</w:t>
            </w:r>
          </w:p>
        </w:tc>
        <w:tc>
          <w:tcPr>
            <w:tcW w:type="dxa" w:w="5102"/>
            <w:shd w:fill="FFFFFF"/>
            <w:tcMar>
              <w:top w:w="120" w:type="dxa"/>
              <w:bottom w:w="120" w:type="dxa"/>
              <w:left w:w="160" w:type="dxa"/>
              <w:right w:w="160" w:type="dxa"/>
            </w:tcMar>
          </w:tcPr>
          <w:p>
            <w:r>
              <w:rPr>
                <w:color w:val="0F172A"/>
                <w:sz w:val="18"/>
              </w:rPr>
              <w:t>Volledige cascade deletion bij het wissen van registraties, documenten en gebruikers (routes/admin.py). Auditlogs en feedback worden conform AVG opgeschoond.</w:t>
            </w:r>
          </w:p>
        </w:tc>
        <w:tc>
          <w:tcPr>
            <w:tcW w:type="dxa" w:w="1984"/>
            <w:shd w:fill="FFFFFF"/>
            <w:tcMar>
              <w:top w:w="120" w:type="dxa"/>
              <w:bottom w:w="120" w:type="dxa"/>
              <w:left w:w="160" w:type="dxa"/>
              <w:right w:w="160" w:type="dxa"/>
            </w:tcMar>
          </w:tcPr>
          <w:p>
            <w:r>
              <w:rPr>
                <w:color w:val="0F172A"/>
                <w:sz w:val="18"/>
              </w:rPr>
              <w:t>VOLLEDIG ONDERSTEUND</w:t>
            </w:r>
          </w:p>
        </w:tc>
      </w:tr>
      <w:tr>
        <w:tc>
          <w:tcPr>
            <w:tcW w:type="dxa" w:w="2551"/>
            <w:shd w:fill="F0F7FF"/>
            <w:tcMar>
              <w:top w:w="120" w:type="dxa"/>
              <w:bottom w:w="120" w:type="dxa"/>
              <w:left w:w="160" w:type="dxa"/>
              <w:right w:w="160" w:type="dxa"/>
            </w:tcMar>
          </w:tcPr>
          <w:p>
            <w:r>
              <w:rPr>
                <w:color w:val="0F172A"/>
                <w:sz w:val="18"/>
              </w:rPr>
              <w:t>Recht op Beperking (Art. 18)</w:t>
            </w:r>
          </w:p>
        </w:tc>
        <w:tc>
          <w:tcPr>
            <w:tcW w:type="dxa" w:w="5102"/>
            <w:shd w:fill="F0F7FF"/>
            <w:tcMar>
              <w:top w:w="120" w:type="dxa"/>
              <w:bottom w:w="120" w:type="dxa"/>
              <w:left w:w="160" w:type="dxa"/>
              <w:right w:w="160" w:type="dxa"/>
            </w:tcMar>
          </w:tcPr>
          <w:p>
            <w:r>
              <w:rPr>
                <w:color w:val="0F172A"/>
                <w:sz w:val="18"/>
              </w:rPr>
              <w:t>Gebruikers en digidokters kunnen met één klik op 'inactief' worden gezet zonder dataverlies via de toggle-functies in het beheerpaneel.</w:t>
            </w:r>
          </w:p>
        </w:tc>
        <w:tc>
          <w:tcPr>
            <w:tcW w:type="dxa" w:w="1984"/>
            <w:shd w:fill="F0F7FF"/>
            <w:tcMar>
              <w:top w:w="120" w:type="dxa"/>
              <w:bottom w:w="120" w:type="dxa"/>
              <w:left w:w="160" w:type="dxa"/>
              <w:right w:w="160" w:type="dxa"/>
            </w:tcMar>
          </w:tcPr>
          <w:p>
            <w:r>
              <w:rPr>
                <w:color w:val="0F172A"/>
                <w:sz w:val="18"/>
              </w:rPr>
              <w:t>VOLLEDIG ONDERSTEUND</w:t>
            </w:r>
          </w:p>
        </w:tc>
      </w:tr>
      <w:tr>
        <w:tc>
          <w:tcPr>
            <w:tcW w:type="dxa" w:w="2551"/>
            <w:shd w:fill="FFFFFF"/>
            <w:tcMar>
              <w:top w:w="120" w:type="dxa"/>
              <w:bottom w:w="120" w:type="dxa"/>
              <w:left w:w="160" w:type="dxa"/>
              <w:right w:w="160" w:type="dxa"/>
            </w:tcMar>
          </w:tcPr>
          <w:p>
            <w:r>
              <w:rPr>
                <w:color w:val="0F172A"/>
                <w:sz w:val="18"/>
              </w:rPr>
              <w:t>Recht op Dataportabiliteit (Art. 20)</w:t>
            </w:r>
          </w:p>
        </w:tc>
        <w:tc>
          <w:tcPr>
            <w:tcW w:type="dxa" w:w="5102"/>
            <w:shd w:fill="FFFFFF"/>
            <w:tcMar>
              <w:top w:w="120" w:type="dxa"/>
              <w:bottom w:w="120" w:type="dxa"/>
              <w:left w:w="160" w:type="dxa"/>
              <w:right w:w="160" w:type="dxa"/>
            </w:tcMar>
          </w:tcPr>
          <w:p>
            <w:r>
              <w:rPr>
                <w:color w:val="0F172A"/>
                <w:sz w:val="18"/>
              </w:rPr>
              <w:t>Volledige exportfunctionaliteit van registraties en evaluatieresultaten naar gestructureerde CSV- en XLSX-bestanden.</w:t>
            </w:r>
          </w:p>
        </w:tc>
        <w:tc>
          <w:tcPr>
            <w:tcW w:type="dxa" w:w="1984"/>
            <w:shd w:fill="FFFFFF"/>
            <w:tcMar>
              <w:top w:w="120" w:type="dxa"/>
              <w:bottom w:w="120" w:type="dxa"/>
              <w:left w:w="160" w:type="dxa"/>
              <w:right w:w="160" w:type="dxa"/>
            </w:tcMar>
          </w:tcPr>
          <w:p>
            <w:r>
              <w:rPr>
                <w:color w:val="0F172A"/>
                <w:sz w:val="18"/>
              </w:rPr>
              <w:t>VOLLEDIG ONDERSTEUND</w:t>
            </w:r>
          </w:p>
        </w:tc>
      </w:tr>
      <w:tr>
        <w:tc>
          <w:tcPr>
            <w:tcW w:type="dxa" w:w="2551"/>
            <w:shd w:fill="F0F7FF"/>
            <w:tcMar>
              <w:top w:w="120" w:type="dxa"/>
              <w:bottom w:w="120" w:type="dxa"/>
              <w:left w:w="160" w:type="dxa"/>
              <w:right w:w="160" w:type="dxa"/>
            </w:tcMar>
          </w:tcPr>
          <w:p>
            <w:r>
              <w:rPr>
                <w:color w:val="0F172A"/>
                <w:sz w:val="18"/>
              </w:rPr>
              <w:t>Recht van Bezwaar (Art. 21)</w:t>
            </w:r>
          </w:p>
        </w:tc>
        <w:tc>
          <w:tcPr>
            <w:tcW w:type="dxa" w:w="5102"/>
            <w:shd w:fill="F0F7FF"/>
            <w:tcMar>
              <w:top w:w="120" w:type="dxa"/>
              <w:bottom w:w="120" w:type="dxa"/>
              <w:left w:w="160" w:type="dxa"/>
              <w:right w:w="160" w:type="dxa"/>
            </w:tcMar>
          </w:tcPr>
          <w:p>
            <w:r>
              <w:rPr>
                <w:color w:val="0F172A"/>
                <w:sz w:val="18"/>
              </w:rPr>
              <w:t>Vrijwilligers of medewerkers kunnen hun account laten deactiveren of ontkoppelen van specifieke organisaties.</w:t>
            </w:r>
          </w:p>
        </w:tc>
        <w:tc>
          <w:tcPr>
            <w:tcW w:type="dxa" w:w="1984"/>
            <w:shd w:fill="F0F7FF"/>
            <w:tcMar>
              <w:top w:w="120" w:type="dxa"/>
              <w:bottom w:w="120" w:type="dxa"/>
              <w:left w:w="160" w:type="dxa"/>
              <w:right w:w="160" w:type="dxa"/>
            </w:tcMar>
          </w:tcPr>
          <w:p>
            <w:r>
              <w:rPr>
                <w:color w:val="0F172A"/>
                <w:sz w:val="18"/>
              </w:rPr>
              <w:t>VOLLEDIG ONDERSTEUND</w:t>
            </w:r>
          </w:p>
        </w:tc>
      </w:tr>
    </w:tbl>
    <w:p>
      <w:pPr>
        <w:spacing w:after="120"/>
      </w:pPr>
    </w:p>
    <w:p>
      <w:pPr>
        <w:keepNext/>
        <w:spacing w:before="360" w:after="160"/>
      </w:pPr>
      <w:r>
        <w:rPr>
          <w:b/>
          <w:color w:val="0F4C81"/>
          <w:sz w:val="32"/>
        </w:rPr>
        <w:t>5. Privacy by Design &amp; Privacy by Default (Art. 25 AVG)</w:t>
      </w:r>
    </w:p>
    <w:p>
      <w:pPr>
        <w:spacing w:before="0" w:after="120" w:line="276" w:lineRule="auto"/>
      </w:pPr>
      <w:r>
        <w:rPr>
          <w:i w:val="0"/>
          <w:color w:val="0F172A"/>
          <w:sz w:val="20"/>
        </w:rPr>
        <w:t>Het platform is van de grond af ontworpen met privacybevorderende waarborgen:</w:t>
      </w:r>
    </w:p>
    <w:p>
      <w:pPr>
        <w:pStyle w:val="ListBullet"/>
        <w:spacing w:before="20" w:after="60" w:line="276" w:lineRule="auto"/>
      </w:pPr>
      <w:r>
        <w:rPr>
          <w:b/>
          <w:color w:val="0F172A"/>
          <w:sz w:val="20"/>
        </w:rPr>
        <w:t xml:space="preserve">1. Rij-niveau Tenant Isolatie: </w:t>
      </w:r>
      <w:r>
        <w:rPr>
          <w:color w:val="0F172A"/>
          <w:sz w:val="20"/>
        </w:rPr>
        <w:t>Elke databasetabel met organisatiespecifieke gegevens bevat een organisatie_id foreign key. De applicatielaag (utils/tenant.py) forceert organisatie-filtering op alle queries.</w:t>
      </w:r>
    </w:p>
    <w:p>
      <w:pPr>
        <w:pStyle w:val="ListBullet"/>
        <w:spacing w:before="20" w:after="60" w:line="276" w:lineRule="auto"/>
      </w:pPr>
      <w:r>
        <w:rPr>
          <w:b/>
          <w:color w:val="0F172A"/>
          <w:sz w:val="20"/>
        </w:rPr>
        <w:t xml:space="preserve">2. Sandboxed Document Rendering: </w:t>
      </w:r>
      <w:r>
        <w:rPr>
          <w:color w:val="0F172A"/>
          <w:sz w:val="20"/>
        </w:rPr>
        <w:t>Geüploade documenten (Word, ODT, HTML, PDF) worden in de viewer geserveerd in een sandboxed iframe zonder allow-same-origin, waardoor documentinhoud niet kan communiceren met sessiecookies of andere browsercontexten.</w:t>
      </w:r>
    </w:p>
    <w:p>
      <w:pPr>
        <w:pStyle w:val="ListBullet"/>
        <w:spacing w:before="20" w:after="60" w:line="276" w:lineRule="auto"/>
      </w:pPr>
      <w:r>
        <w:rPr>
          <w:b/>
          <w:color w:val="0F172A"/>
          <w:sz w:val="20"/>
        </w:rPr>
        <w:t xml:space="preserve">3. Visuele Indicator Productieschema: </w:t>
      </w:r>
      <w:r>
        <w:rPr>
          <w:color w:val="0F172A"/>
          <w:sz w:val="20"/>
        </w:rPr>
        <w:t>In templates/base.html wordt een opvallende amberkleurige waarschuwingsbadge getoond wanneer het lokale PostgreSQL productieschema ('productie') actief is, zodat ontwikkelaars en testers direct zien dat zij met echte productiedata werken.</w:t>
      </w:r>
    </w:p>
    <w:p>
      <w:pPr>
        <w:pStyle w:val="ListBullet"/>
        <w:spacing w:before="20" w:after="60" w:line="276" w:lineRule="auto"/>
      </w:pPr>
      <w:r>
        <w:rPr>
          <w:b/>
          <w:color w:val="0F172A"/>
          <w:sz w:val="20"/>
        </w:rPr>
        <w:t xml:space="preserve">4. Geautomatiseerd Retentiebeheer: </w:t>
      </w:r>
      <w:r>
        <w:rPr>
          <w:color w:val="0F172A"/>
          <w:sz w:val="20"/>
        </w:rPr>
        <w:t>Backups worden via een geautomatiseerd GFS-algoritme opgeschoond, zodat verouderde gegevens niet oneindig blijven circuleren op lokale schijven.</w:t>
      </w:r>
    </w:p>
    <w:p>
      <w:pPr>
        <w:keepNext/>
        <w:spacing w:before="360" w:after="160"/>
      </w:pPr>
      <w:r>
        <w:rPr>
          <w:b/>
          <w:color w:val="0F4C81"/>
          <w:sz w:val="32"/>
        </w:rPr>
        <w:t>6. Technische en Organisatorische Maatregelen (TOM's)</w:t>
      </w:r>
    </w:p>
    <w:p>
      <w:pPr>
        <w:spacing w:before="0" w:after="120" w:line="276" w:lineRule="auto"/>
      </w:pPr>
      <w:r>
        <w:rPr>
          <w:i w:val="0"/>
          <w:color w:val="0F172A"/>
          <w:sz w:val="20"/>
        </w:rPr>
        <w:t>Conform Art. 32 AVG heeft het platform passende beveiligingsmaatregelen geïmplementeerd om een op het risico afgestemd beveiligingsniveau te waarborgen:</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3135"/>
        <w:gridCol w:w="3135"/>
        <w:gridCol w:w="3135"/>
      </w:tblGrid>
      <w:tr>
        <w:tc>
          <w:tcPr>
            <w:tcW w:type="dxa" w:w="2551"/>
            <w:shd w:fill="0F4C81"/>
            <w:tcMar>
              <w:top w:w="160" w:type="dxa"/>
              <w:bottom w:w="160" w:type="dxa"/>
              <w:left w:w="180" w:type="dxa"/>
              <w:right w:w="180" w:type="dxa"/>
            </w:tcMar>
          </w:tcPr>
          <w:p>
            <w:pPr>
              <w:jc w:val="left"/>
            </w:pPr>
            <w:r>
              <w:rPr>
                <w:b/>
                <w:color w:val="FFFFFF"/>
                <w:sz w:val="19"/>
              </w:rPr>
              <w:t>Pijler Art. 32 AVG</w:t>
            </w:r>
          </w:p>
        </w:tc>
        <w:tc>
          <w:tcPr>
            <w:tcW w:type="dxa" w:w="5102"/>
            <w:shd w:fill="0F4C81"/>
            <w:tcMar>
              <w:top w:w="160" w:type="dxa"/>
              <w:bottom w:w="160" w:type="dxa"/>
              <w:left w:w="180" w:type="dxa"/>
              <w:right w:w="180" w:type="dxa"/>
            </w:tcMar>
          </w:tcPr>
          <w:p>
            <w:pPr>
              <w:jc w:val="left"/>
            </w:pPr>
            <w:r>
              <w:rPr>
                <w:b/>
                <w:color w:val="FFFFFF"/>
                <w:sz w:val="19"/>
              </w:rPr>
              <w:t>Geïmplementeerde Maatregel</w:t>
            </w:r>
          </w:p>
        </w:tc>
        <w:tc>
          <w:tcPr>
            <w:tcW w:type="dxa" w:w="1984"/>
            <w:shd w:fill="0F4C81"/>
            <w:tcMar>
              <w:top w:w="160" w:type="dxa"/>
              <w:bottom w:w="160" w:type="dxa"/>
              <w:left w:w="180" w:type="dxa"/>
              <w:right w:w="180" w:type="dxa"/>
            </w:tcMar>
          </w:tcPr>
          <w:p>
            <w:pPr>
              <w:jc w:val="left"/>
            </w:pPr>
            <w:r>
              <w:rPr>
                <w:b/>
                <w:color w:val="FFFFFF"/>
                <w:sz w:val="19"/>
              </w:rPr>
              <w:t>Evaluatie</w:t>
            </w:r>
          </w:p>
        </w:tc>
      </w:tr>
      <w:tr>
        <w:tc>
          <w:tcPr>
            <w:tcW w:type="dxa" w:w="2551"/>
            <w:shd w:fill="FFFFFF"/>
            <w:tcMar>
              <w:top w:w="120" w:type="dxa"/>
              <w:bottom w:w="120" w:type="dxa"/>
              <w:left w:w="160" w:type="dxa"/>
              <w:right w:w="160" w:type="dxa"/>
            </w:tcMar>
          </w:tcPr>
          <w:p>
            <w:r>
              <w:rPr>
                <w:color w:val="0F172A"/>
                <w:sz w:val="18"/>
              </w:rPr>
              <w:t>Pseudonimisering &amp; Encryptie</w:t>
            </w:r>
          </w:p>
        </w:tc>
        <w:tc>
          <w:tcPr>
            <w:tcW w:type="dxa" w:w="5102"/>
            <w:shd w:fill="FFFFFF"/>
            <w:tcMar>
              <w:top w:w="120" w:type="dxa"/>
              <w:bottom w:w="120" w:type="dxa"/>
              <w:left w:w="160" w:type="dxa"/>
              <w:right w:w="160" w:type="dxa"/>
            </w:tcMar>
          </w:tcPr>
          <w:p>
            <w:r>
              <w:rPr>
                <w:color w:val="0F172A"/>
                <w:sz w:val="18"/>
              </w:rPr>
              <w:t>Wachtwoordhashing via Scrypt/Pbkdf2. TLS 1.3 / SSL verificatie bij database connecties en live dumps (PGSSLROOTCERT). HTTPS cookies (Secure, HttpOnly, SameSite=Lax) in productie.</w:t>
            </w:r>
          </w:p>
        </w:tc>
        <w:tc>
          <w:tcPr>
            <w:tcW w:type="dxa" w:w="1984"/>
            <w:shd w:fill="FFFFFF"/>
            <w:tcMar>
              <w:top w:w="120" w:type="dxa"/>
              <w:bottom w:w="120" w:type="dxa"/>
              <w:left w:w="160" w:type="dxa"/>
              <w:right w:w="160" w:type="dxa"/>
            </w:tcMar>
          </w:tcPr>
          <w:p>
            <w:r>
              <w:rPr>
                <w:color w:val="0F172A"/>
                <w:sz w:val="18"/>
              </w:rPr>
              <w:t>CONFORM</w:t>
            </w:r>
          </w:p>
        </w:tc>
      </w:tr>
      <w:tr>
        <w:tc>
          <w:tcPr>
            <w:tcW w:type="dxa" w:w="2551"/>
            <w:shd w:fill="F0F7FF"/>
            <w:tcMar>
              <w:top w:w="120" w:type="dxa"/>
              <w:bottom w:w="120" w:type="dxa"/>
              <w:left w:w="160" w:type="dxa"/>
              <w:right w:w="160" w:type="dxa"/>
            </w:tcMar>
          </w:tcPr>
          <w:p>
            <w:r>
              <w:rPr>
                <w:color w:val="0F172A"/>
                <w:sz w:val="18"/>
              </w:rPr>
              <w:t>Vertrouwelijkheid &amp; Toegangsbeheer</w:t>
            </w:r>
          </w:p>
        </w:tc>
        <w:tc>
          <w:tcPr>
            <w:tcW w:type="dxa" w:w="5102"/>
            <w:shd w:fill="F0F7FF"/>
            <w:tcMar>
              <w:top w:w="120" w:type="dxa"/>
              <w:bottom w:w="120" w:type="dxa"/>
              <w:left w:w="160" w:type="dxa"/>
              <w:right w:w="160" w:type="dxa"/>
            </w:tcMar>
          </w:tcPr>
          <w:p>
            <w:r>
              <w:rPr>
                <w:color w:val="0F172A"/>
                <w:sz w:val="18"/>
              </w:rPr>
              <w:t>Vierledig RBAC-model (Platformbeheerder, Beheerder, Medewerker, Lezer). Handhaving van @writer_required op alle mutatie-endpoints. Strikte CSRF-bescherming op alle formulieren.</w:t>
            </w:r>
          </w:p>
        </w:tc>
        <w:tc>
          <w:tcPr>
            <w:tcW w:type="dxa" w:w="1984"/>
            <w:shd w:fill="F0F7FF"/>
            <w:tcMar>
              <w:top w:w="120" w:type="dxa"/>
              <w:bottom w:w="120" w:type="dxa"/>
              <w:left w:w="160" w:type="dxa"/>
              <w:right w:w="160" w:type="dxa"/>
            </w:tcMar>
          </w:tcPr>
          <w:p>
            <w:r>
              <w:rPr>
                <w:color w:val="0F172A"/>
                <w:sz w:val="18"/>
              </w:rPr>
              <w:t>CONFORM</w:t>
            </w:r>
          </w:p>
        </w:tc>
      </w:tr>
      <w:tr>
        <w:tc>
          <w:tcPr>
            <w:tcW w:type="dxa" w:w="2551"/>
            <w:shd w:fill="FFFFFF"/>
            <w:tcMar>
              <w:top w:w="120" w:type="dxa"/>
              <w:bottom w:w="120" w:type="dxa"/>
              <w:left w:w="160" w:type="dxa"/>
              <w:right w:w="160" w:type="dxa"/>
            </w:tcMar>
          </w:tcPr>
          <w:p>
            <w:r>
              <w:rPr>
                <w:color w:val="0F172A"/>
                <w:sz w:val="18"/>
              </w:rPr>
              <w:t>Beschikbaarheid &amp; Veerkracht</w:t>
            </w:r>
          </w:p>
        </w:tc>
        <w:tc>
          <w:tcPr>
            <w:tcW w:type="dxa" w:w="5102"/>
            <w:shd w:fill="FFFFFF"/>
            <w:tcMar>
              <w:top w:w="120" w:type="dxa"/>
              <w:bottom w:w="120" w:type="dxa"/>
              <w:left w:w="160" w:type="dxa"/>
              <w:right w:w="160" w:type="dxa"/>
            </w:tcMar>
          </w:tcPr>
          <w:p>
            <w:r>
              <w:rPr>
                <w:color w:val="0F172A"/>
                <w:sz w:val="18"/>
              </w:rPr>
              <w:t>Geautomatiseerde live pg_dump backups naar interne SSD met GFS-retentiebeleid. Schema-isolatie ('public' vs 'productie') voor veilige test- en herstelprocedures.</w:t>
            </w:r>
          </w:p>
        </w:tc>
        <w:tc>
          <w:tcPr>
            <w:tcW w:type="dxa" w:w="1984"/>
            <w:shd w:fill="FFFFFF"/>
            <w:tcMar>
              <w:top w:w="120" w:type="dxa"/>
              <w:bottom w:w="120" w:type="dxa"/>
              <w:left w:w="160" w:type="dxa"/>
              <w:right w:w="160" w:type="dxa"/>
            </w:tcMar>
          </w:tcPr>
          <w:p>
            <w:r>
              <w:rPr>
                <w:color w:val="0F172A"/>
                <w:sz w:val="18"/>
              </w:rPr>
              <w:t>CONFORM</w:t>
            </w:r>
          </w:p>
        </w:tc>
      </w:tr>
      <w:tr>
        <w:tc>
          <w:tcPr>
            <w:tcW w:type="dxa" w:w="2551"/>
            <w:shd w:fill="F0F7FF"/>
            <w:tcMar>
              <w:top w:w="120" w:type="dxa"/>
              <w:bottom w:w="120" w:type="dxa"/>
              <w:left w:w="160" w:type="dxa"/>
              <w:right w:w="160" w:type="dxa"/>
            </w:tcMar>
          </w:tcPr>
          <w:p>
            <w:r>
              <w:rPr>
                <w:color w:val="0F172A"/>
                <w:sz w:val="18"/>
              </w:rPr>
              <w:t>Regelmatige Evaluatie &amp; Testen</w:t>
            </w:r>
          </w:p>
        </w:tc>
        <w:tc>
          <w:tcPr>
            <w:tcW w:type="dxa" w:w="5102"/>
            <w:shd w:fill="F0F7FF"/>
            <w:tcMar>
              <w:top w:w="120" w:type="dxa"/>
              <w:bottom w:w="120" w:type="dxa"/>
              <w:left w:w="160" w:type="dxa"/>
              <w:right w:w="160" w:type="dxa"/>
            </w:tcMar>
          </w:tcPr>
          <w:p>
            <w:r>
              <w:rPr>
                <w:color w:val="0F172A"/>
                <w:sz w:val="18"/>
              </w:rPr>
              <w:t>Volledige testsuite van 183 unittests voor continue verificatie van multi-tenancy, authenticatie en privacy-cascades. SonarQube SAST integratie in Jenkins CI/CD pipeline.</w:t>
            </w:r>
          </w:p>
        </w:tc>
        <w:tc>
          <w:tcPr>
            <w:tcW w:type="dxa" w:w="1984"/>
            <w:shd w:fill="F0F7FF"/>
            <w:tcMar>
              <w:top w:w="120" w:type="dxa"/>
              <w:bottom w:w="120" w:type="dxa"/>
              <w:left w:w="160" w:type="dxa"/>
              <w:right w:w="160" w:type="dxa"/>
            </w:tcMar>
          </w:tcPr>
          <w:p>
            <w:r>
              <w:rPr>
                <w:color w:val="0F172A"/>
                <w:sz w:val="18"/>
              </w:rPr>
              <w:t>CONFORM</w:t>
            </w:r>
          </w:p>
        </w:tc>
      </w:tr>
    </w:tbl>
    <w:p>
      <w:pPr>
        <w:spacing w:after="120"/>
      </w:pPr>
    </w:p>
    <w:p>
      <w:r>
        <w:br w:type="page"/>
      </w:r>
    </w:p>
    <w:p>
      <w:pPr>
        <w:keepNext/>
        <w:spacing w:before="360" w:after="160"/>
      </w:pPr>
      <w:r>
        <w:rPr>
          <w:b/>
          <w:color w:val="0F4C81"/>
          <w:sz w:val="32"/>
        </w:rPr>
        <w:t>7. Register van GDPR-Auditbevindingen</w:t>
      </w:r>
    </w:p>
    <w:p>
      <w:pPr>
        <w:spacing w:before="0" w:after="120" w:line="276" w:lineRule="auto"/>
      </w:pPr>
      <w:r>
        <w:rPr>
          <w:i w:val="0"/>
          <w:color w:val="0F172A"/>
          <w:sz w:val="20"/>
        </w:rPr>
        <w:t>Het onderstaande register documenteert de status van alle historische (GDPR-01 t/m GDPR-04) en recent onderzochte (GDPR-05 t/m GDPR-08) privacybevindingen.</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1881"/>
        <w:gridCol w:w="1881"/>
        <w:gridCol w:w="1881"/>
        <w:gridCol w:w="1881"/>
        <w:gridCol w:w="1881"/>
      </w:tblGrid>
      <w:tr>
        <w:tc>
          <w:tcPr>
            <w:tcW w:type="dxa" w:w="1134"/>
            <w:shd w:fill="0F4C81"/>
            <w:tcMar>
              <w:top w:w="160" w:type="dxa"/>
              <w:bottom w:w="160" w:type="dxa"/>
              <w:left w:w="180" w:type="dxa"/>
              <w:right w:w="180" w:type="dxa"/>
            </w:tcMar>
          </w:tcPr>
          <w:p>
            <w:pPr>
              <w:jc w:val="left"/>
            </w:pPr>
            <w:r>
              <w:rPr>
                <w:b/>
                <w:color w:val="FFFFFF"/>
                <w:sz w:val="19"/>
              </w:rPr>
              <w:t>ID</w:t>
            </w:r>
          </w:p>
        </w:tc>
        <w:tc>
          <w:tcPr>
            <w:tcW w:type="dxa" w:w="3402"/>
            <w:shd w:fill="0F4C81"/>
            <w:tcMar>
              <w:top w:w="160" w:type="dxa"/>
              <w:bottom w:w="160" w:type="dxa"/>
              <w:left w:w="180" w:type="dxa"/>
              <w:right w:w="180" w:type="dxa"/>
            </w:tcMar>
          </w:tcPr>
          <w:p>
            <w:pPr>
              <w:jc w:val="left"/>
            </w:pPr>
            <w:r>
              <w:rPr>
                <w:b/>
                <w:color w:val="FFFFFF"/>
                <w:sz w:val="19"/>
              </w:rPr>
              <w:t>Onderwerp / Bevinding</w:t>
            </w:r>
          </w:p>
        </w:tc>
        <w:tc>
          <w:tcPr>
            <w:tcW w:type="dxa" w:w="1814"/>
            <w:shd w:fill="0F4C81"/>
            <w:tcMar>
              <w:top w:w="160" w:type="dxa"/>
              <w:bottom w:w="160" w:type="dxa"/>
              <w:left w:w="180" w:type="dxa"/>
              <w:right w:w="180" w:type="dxa"/>
            </w:tcMar>
          </w:tcPr>
          <w:p>
            <w:pPr>
              <w:jc w:val="left"/>
            </w:pPr>
            <w:r>
              <w:rPr>
                <w:b/>
                <w:color w:val="FFFFFF"/>
                <w:sz w:val="19"/>
              </w:rPr>
              <w:t>AVG Artikel</w:t>
            </w:r>
          </w:p>
        </w:tc>
        <w:tc>
          <w:tcPr>
            <w:tcW w:type="dxa" w:w="1304"/>
            <w:shd w:fill="0F4C81"/>
            <w:tcMar>
              <w:top w:w="160" w:type="dxa"/>
              <w:bottom w:w="160" w:type="dxa"/>
              <w:left w:w="180" w:type="dxa"/>
              <w:right w:w="180" w:type="dxa"/>
            </w:tcMar>
          </w:tcPr>
          <w:p>
            <w:pPr>
              <w:jc w:val="left"/>
            </w:pPr>
            <w:r>
              <w:rPr>
                <w:b/>
                <w:color w:val="FFFFFF"/>
                <w:sz w:val="19"/>
              </w:rPr>
              <w:t>Ernst</w:t>
            </w:r>
          </w:p>
        </w:tc>
        <w:tc>
          <w:tcPr>
            <w:tcW w:type="dxa" w:w="1984"/>
            <w:shd w:fill="0F4C81"/>
            <w:tcMar>
              <w:top w:w="160" w:type="dxa"/>
              <w:bottom w:w="160" w:type="dxa"/>
              <w:left w:w="180" w:type="dxa"/>
              <w:right w:w="180" w:type="dxa"/>
            </w:tcMar>
          </w:tcPr>
          <w:p>
            <w:pPr>
              <w:jc w:val="left"/>
            </w:pPr>
            <w:r>
              <w:rPr>
                <w:b/>
                <w:color w:val="FFFFFF"/>
                <w:sz w:val="19"/>
              </w:rPr>
              <w:t>Status</w:t>
            </w:r>
          </w:p>
        </w:tc>
      </w:tr>
      <w:tr>
        <w:tc>
          <w:tcPr>
            <w:tcW w:type="dxa" w:w="1134"/>
            <w:shd w:fill="FFFFFF"/>
            <w:tcMar>
              <w:top w:w="120" w:type="dxa"/>
              <w:bottom w:w="120" w:type="dxa"/>
              <w:left w:w="160" w:type="dxa"/>
              <w:right w:w="160" w:type="dxa"/>
            </w:tcMar>
          </w:tcPr>
          <w:p>
            <w:r>
              <w:rPr>
                <w:color w:val="0F172A"/>
                <w:sz w:val="18"/>
              </w:rPr>
              <w:t>GDPR-01</w:t>
            </w:r>
          </w:p>
        </w:tc>
        <w:tc>
          <w:tcPr>
            <w:tcW w:type="dxa" w:w="3402"/>
            <w:shd w:fill="FFFFFF"/>
            <w:tcMar>
              <w:top w:w="120" w:type="dxa"/>
              <w:bottom w:w="120" w:type="dxa"/>
              <w:left w:w="160" w:type="dxa"/>
              <w:right w:w="160" w:type="dxa"/>
            </w:tcMar>
          </w:tcPr>
          <w:p>
            <w:r>
              <w:rPr>
                <w:color w:val="0F172A"/>
                <w:sz w:val="18"/>
              </w:rPr>
              <w:t>Multi-tenant Isolatie &amp; Vergetelheid bij Gebruikersverwijdering</w:t>
            </w:r>
          </w:p>
        </w:tc>
        <w:tc>
          <w:tcPr>
            <w:tcW w:type="dxa" w:w="1814"/>
            <w:shd w:fill="FFFFFF"/>
            <w:tcMar>
              <w:top w:w="120" w:type="dxa"/>
              <w:bottom w:w="120" w:type="dxa"/>
              <w:left w:w="160" w:type="dxa"/>
              <w:right w:w="160" w:type="dxa"/>
            </w:tcMar>
          </w:tcPr>
          <w:p>
            <w:r>
              <w:rPr>
                <w:color w:val="0F172A"/>
                <w:sz w:val="18"/>
              </w:rPr>
              <w:t>Art. 17 &amp; 5.1.f</w:t>
            </w:r>
          </w:p>
        </w:tc>
        <w:tc>
          <w:tcPr>
            <w:tcW w:type="dxa" w:w="1304"/>
            <w:shd w:fill="FFFFFF"/>
            <w:tcMar>
              <w:top w:w="120" w:type="dxa"/>
              <w:bottom w:w="120" w:type="dxa"/>
              <w:left w:w="160" w:type="dxa"/>
              <w:right w:w="160" w:type="dxa"/>
            </w:tcMar>
          </w:tcPr>
          <w:p>
            <w:r>
              <w:rPr>
                <w:color w:val="0F172A"/>
                <w:sz w:val="18"/>
              </w:rPr>
              <w:t>Hoog</w:t>
            </w:r>
          </w:p>
        </w:tc>
        <w:tc>
          <w:tcPr>
            <w:tcW w:type="dxa" w:w="1984"/>
            <w:shd w:fill="FFFFFF"/>
            <w:tcMar>
              <w:top w:w="120" w:type="dxa"/>
              <w:bottom w:w="120" w:type="dxa"/>
              <w:left w:w="160" w:type="dxa"/>
              <w:right w:w="160" w:type="dxa"/>
            </w:tcMar>
          </w:tcPr>
          <w:p>
            <w:r>
              <w:rPr>
                <w:color w:val="0F172A"/>
                <w:sz w:val="18"/>
              </w:rPr>
              <w:t>OPGELOST</w:t>
            </w:r>
          </w:p>
        </w:tc>
      </w:tr>
      <w:tr>
        <w:tc>
          <w:tcPr>
            <w:tcW w:type="dxa" w:w="1134"/>
            <w:shd w:fill="F0F7FF"/>
            <w:tcMar>
              <w:top w:w="120" w:type="dxa"/>
              <w:bottom w:w="120" w:type="dxa"/>
              <w:left w:w="160" w:type="dxa"/>
              <w:right w:w="160" w:type="dxa"/>
            </w:tcMar>
          </w:tcPr>
          <w:p>
            <w:r>
              <w:rPr>
                <w:color w:val="0F172A"/>
                <w:sz w:val="18"/>
              </w:rPr>
              <w:t>GDPR-02</w:t>
            </w:r>
          </w:p>
        </w:tc>
        <w:tc>
          <w:tcPr>
            <w:tcW w:type="dxa" w:w="3402"/>
            <w:shd w:fill="F0F7FF"/>
            <w:tcMar>
              <w:top w:w="120" w:type="dxa"/>
              <w:bottom w:w="120" w:type="dxa"/>
              <w:left w:w="160" w:type="dxa"/>
              <w:right w:w="160" w:type="dxa"/>
            </w:tcMar>
          </w:tcPr>
          <w:p>
            <w:r>
              <w:rPr>
                <w:color w:val="0F172A"/>
                <w:sz w:val="18"/>
              </w:rPr>
              <w:t>Dataminimalisatie bij Feedback &amp; Schermafbeeldingen</w:t>
            </w:r>
          </w:p>
        </w:tc>
        <w:tc>
          <w:tcPr>
            <w:tcW w:type="dxa" w:w="1814"/>
            <w:shd w:fill="F0F7FF"/>
            <w:tcMar>
              <w:top w:w="120" w:type="dxa"/>
              <w:bottom w:w="120" w:type="dxa"/>
              <w:left w:w="160" w:type="dxa"/>
              <w:right w:w="160" w:type="dxa"/>
            </w:tcMar>
          </w:tcPr>
          <w:p>
            <w:r>
              <w:rPr>
                <w:color w:val="0F172A"/>
                <w:sz w:val="18"/>
              </w:rPr>
              <w:t>Art. 5.1.c &amp; 25</w:t>
            </w:r>
          </w:p>
        </w:tc>
        <w:tc>
          <w:tcPr>
            <w:tcW w:type="dxa" w:w="1304"/>
            <w:shd w:fill="F0F7FF"/>
            <w:tcMar>
              <w:top w:w="120" w:type="dxa"/>
              <w:bottom w:w="120" w:type="dxa"/>
              <w:left w:w="160" w:type="dxa"/>
              <w:right w:w="160" w:type="dxa"/>
            </w:tcMar>
          </w:tcPr>
          <w:p>
            <w:r>
              <w:rPr>
                <w:color w:val="0F172A"/>
                <w:sz w:val="18"/>
              </w:rPr>
              <w:t>Medium</w:t>
            </w:r>
          </w:p>
        </w:tc>
        <w:tc>
          <w:tcPr>
            <w:tcW w:type="dxa" w:w="1984"/>
            <w:shd w:fill="F0F7FF"/>
            <w:tcMar>
              <w:top w:w="120" w:type="dxa"/>
              <w:bottom w:w="120" w:type="dxa"/>
              <w:left w:w="160" w:type="dxa"/>
              <w:right w:w="160" w:type="dxa"/>
            </w:tcMar>
          </w:tcPr>
          <w:p>
            <w:r>
              <w:rPr>
                <w:color w:val="0F172A"/>
                <w:sz w:val="18"/>
              </w:rPr>
              <w:t>OPGELOST</w:t>
            </w:r>
          </w:p>
        </w:tc>
      </w:tr>
      <w:tr>
        <w:tc>
          <w:tcPr>
            <w:tcW w:type="dxa" w:w="1134"/>
            <w:shd w:fill="FFFFFF"/>
            <w:tcMar>
              <w:top w:w="120" w:type="dxa"/>
              <w:bottom w:w="120" w:type="dxa"/>
              <w:left w:w="160" w:type="dxa"/>
              <w:right w:w="160" w:type="dxa"/>
            </w:tcMar>
          </w:tcPr>
          <w:p>
            <w:r>
              <w:rPr>
                <w:color w:val="0F172A"/>
                <w:sz w:val="18"/>
              </w:rPr>
              <w:t>GDPR-03</w:t>
            </w:r>
          </w:p>
        </w:tc>
        <w:tc>
          <w:tcPr>
            <w:tcW w:type="dxa" w:w="3402"/>
            <w:shd w:fill="FFFFFF"/>
            <w:tcMar>
              <w:top w:w="120" w:type="dxa"/>
              <w:bottom w:w="120" w:type="dxa"/>
              <w:left w:w="160" w:type="dxa"/>
              <w:right w:w="160" w:type="dxa"/>
            </w:tcMar>
          </w:tcPr>
          <w:p>
            <w:r>
              <w:rPr>
                <w:color w:val="0F172A"/>
                <w:sz w:val="18"/>
              </w:rPr>
              <w:t>Transparantie &amp; Informatieplicht op Publiek Evaluatieformulier</w:t>
            </w:r>
          </w:p>
        </w:tc>
        <w:tc>
          <w:tcPr>
            <w:tcW w:type="dxa" w:w="1814"/>
            <w:shd w:fill="FFFFFF"/>
            <w:tcMar>
              <w:top w:w="120" w:type="dxa"/>
              <w:bottom w:w="120" w:type="dxa"/>
              <w:left w:w="160" w:type="dxa"/>
              <w:right w:w="160" w:type="dxa"/>
            </w:tcMar>
          </w:tcPr>
          <w:p>
            <w:r>
              <w:rPr>
                <w:color w:val="0F172A"/>
                <w:sz w:val="18"/>
              </w:rPr>
              <w:t>Art. 13 &amp; 5.1.a</w:t>
            </w:r>
          </w:p>
        </w:tc>
        <w:tc>
          <w:tcPr>
            <w:tcW w:type="dxa" w:w="1304"/>
            <w:shd w:fill="FFFFFF"/>
            <w:tcMar>
              <w:top w:w="120" w:type="dxa"/>
              <w:bottom w:w="120" w:type="dxa"/>
              <w:left w:w="160" w:type="dxa"/>
              <w:right w:w="160" w:type="dxa"/>
            </w:tcMar>
          </w:tcPr>
          <w:p>
            <w:r>
              <w:rPr>
                <w:color w:val="0F172A"/>
                <w:sz w:val="18"/>
              </w:rPr>
              <w:t>Medium</w:t>
            </w:r>
          </w:p>
        </w:tc>
        <w:tc>
          <w:tcPr>
            <w:tcW w:type="dxa" w:w="1984"/>
            <w:shd w:fill="FFFFFF"/>
            <w:tcMar>
              <w:top w:w="120" w:type="dxa"/>
              <w:bottom w:w="120" w:type="dxa"/>
              <w:left w:w="160" w:type="dxa"/>
              <w:right w:w="160" w:type="dxa"/>
            </w:tcMar>
          </w:tcPr>
          <w:p>
            <w:r>
              <w:rPr>
                <w:color w:val="0F172A"/>
                <w:sz w:val="18"/>
              </w:rPr>
              <w:t>OPGELOST</w:t>
            </w:r>
          </w:p>
        </w:tc>
      </w:tr>
      <w:tr>
        <w:tc>
          <w:tcPr>
            <w:tcW w:type="dxa" w:w="1134"/>
            <w:shd w:fill="F0F7FF"/>
            <w:tcMar>
              <w:top w:w="120" w:type="dxa"/>
              <w:bottom w:w="120" w:type="dxa"/>
              <w:left w:w="160" w:type="dxa"/>
              <w:right w:w="160" w:type="dxa"/>
            </w:tcMar>
          </w:tcPr>
          <w:p>
            <w:r>
              <w:rPr>
                <w:color w:val="0F172A"/>
                <w:sz w:val="18"/>
              </w:rPr>
              <w:t>GDPR-04</w:t>
            </w:r>
          </w:p>
        </w:tc>
        <w:tc>
          <w:tcPr>
            <w:tcW w:type="dxa" w:w="3402"/>
            <w:shd w:fill="F0F7FF"/>
            <w:tcMar>
              <w:top w:w="120" w:type="dxa"/>
              <w:bottom w:w="120" w:type="dxa"/>
              <w:left w:w="160" w:type="dxa"/>
              <w:right w:w="160" w:type="dxa"/>
            </w:tcMar>
          </w:tcPr>
          <w:p>
            <w:r>
              <w:rPr>
                <w:color w:val="0F172A"/>
                <w:sz w:val="18"/>
              </w:rPr>
              <w:t>Centrale Privacy &amp; AVG Modal in Navigatiemenu</w:t>
            </w:r>
          </w:p>
        </w:tc>
        <w:tc>
          <w:tcPr>
            <w:tcW w:type="dxa" w:w="1814"/>
            <w:shd w:fill="F0F7FF"/>
            <w:tcMar>
              <w:top w:w="120" w:type="dxa"/>
              <w:bottom w:w="120" w:type="dxa"/>
              <w:left w:w="160" w:type="dxa"/>
              <w:right w:w="160" w:type="dxa"/>
            </w:tcMar>
          </w:tcPr>
          <w:p>
            <w:r>
              <w:rPr>
                <w:color w:val="0F172A"/>
                <w:sz w:val="18"/>
              </w:rPr>
              <w:t>Art. 12 &amp; 13</w:t>
            </w:r>
          </w:p>
        </w:tc>
        <w:tc>
          <w:tcPr>
            <w:tcW w:type="dxa" w:w="1304"/>
            <w:shd w:fill="F0F7FF"/>
            <w:tcMar>
              <w:top w:w="120" w:type="dxa"/>
              <w:bottom w:w="120" w:type="dxa"/>
              <w:left w:w="160" w:type="dxa"/>
              <w:right w:w="160" w:type="dxa"/>
            </w:tcMar>
          </w:tcPr>
          <w:p>
            <w:r>
              <w:rPr>
                <w:color w:val="0F172A"/>
                <w:sz w:val="18"/>
              </w:rPr>
              <w:t>Laag</w:t>
            </w:r>
          </w:p>
        </w:tc>
        <w:tc>
          <w:tcPr>
            <w:tcW w:type="dxa" w:w="1984"/>
            <w:shd w:fill="F0F7FF"/>
            <w:tcMar>
              <w:top w:w="120" w:type="dxa"/>
              <w:bottom w:w="120" w:type="dxa"/>
              <w:left w:w="160" w:type="dxa"/>
              <w:right w:w="160" w:type="dxa"/>
            </w:tcMar>
          </w:tcPr>
          <w:p>
            <w:r>
              <w:rPr>
                <w:color w:val="0F172A"/>
                <w:sz w:val="18"/>
              </w:rPr>
              <w:t>OPGELOST</w:t>
            </w:r>
          </w:p>
        </w:tc>
      </w:tr>
      <w:tr>
        <w:tc>
          <w:tcPr>
            <w:tcW w:type="dxa" w:w="1134"/>
            <w:shd w:fill="FFFFFF"/>
            <w:tcMar>
              <w:top w:w="120" w:type="dxa"/>
              <w:bottom w:w="120" w:type="dxa"/>
              <w:left w:w="160" w:type="dxa"/>
              <w:right w:w="160" w:type="dxa"/>
            </w:tcMar>
          </w:tcPr>
          <w:p>
            <w:r>
              <w:rPr>
                <w:color w:val="0F172A"/>
                <w:sz w:val="18"/>
              </w:rPr>
              <w:t>GDPR-05</w:t>
            </w:r>
          </w:p>
        </w:tc>
        <w:tc>
          <w:tcPr>
            <w:tcW w:type="dxa" w:w="3402"/>
            <w:shd w:fill="FFFFFF"/>
            <w:tcMar>
              <w:top w:w="120" w:type="dxa"/>
              <w:bottom w:w="120" w:type="dxa"/>
              <w:left w:w="160" w:type="dxa"/>
              <w:right w:w="160" w:type="dxa"/>
            </w:tcMar>
          </w:tcPr>
          <w:p>
            <w:r>
              <w:rPr>
                <w:color w:val="0F172A"/>
                <w:sz w:val="18"/>
              </w:rPr>
              <w:t>Opslagbeperking &amp; GFS Retentiebeheer op Database Backups</w:t>
            </w:r>
          </w:p>
        </w:tc>
        <w:tc>
          <w:tcPr>
            <w:tcW w:type="dxa" w:w="1814"/>
            <w:shd w:fill="FFFFFF"/>
            <w:tcMar>
              <w:top w:w="120" w:type="dxa"/>
              <w:bottom w:w="120" w:type="dxa"/>
              <w:left w:w="160" w:type="dxa"/>
              <w:right w:w="160" w:type="dxa"/>
            </w:tcMar>
          </w:tcPr>
          <w:p>
            <w:r>
              <w:rPr>
                <w:color w:val="0F172A"/>
                <w:sz w:val="18"/>
              </w:rPr>
              <w:t>Art. 5.1.e</w:t>
            </w:r>
          </w:p>
        </w:tc>
        <w:tc>
          <w:tcPr>
            <w:tcW w:type="dxa" w:w="1304"/>
            <w:shd w:fill="FFFFFF"/>
            <w:tcMar>
              <w:top w:w="120" w:type="dxa"/>
              <w:bottom w:w="120" w:type="dxa"/>
              <w:left w:w="160" w:type="dxa"/>
              <w:right w:w="160" w:type="dxa"/>
            </w:tcMar>
          </w:tcPr>
          <w:p>
            <w:r>
              <w:rPr>
                <w:color w:val="0F172A"/>
                <w:sz w:val="18"/>
              </w:rPr>
              <w:t>Medium</w:t>
            </w:r>
          </w:p>
        </w:tc>
        <w:tc>
          <w:tcPr>
            <w:tcW w:type="dxa" w:w="1984"/>
            <w:shd w:fill="FFFFFF"/>
            <w:tcMar>
              <w:top w:w="120" w:type="dxa"/>
              <w:bottom w:w="120" w:type="dxa"/>
              <w:left w:w="160" w:type="dxa"/>
              <w:right w:w="160" w:type="dxa"/>
            </w:tcMar>
          </w:tcPr>
          <w:p>
            <w:r>
              <w:rPr>
                <w:color w:val="0F172A"/>
                <w:sz w:val="18"/>
              </w:rPr>
              <w:t>GEVERIFIEERD</w:t>
            </w:r>
          </w:p>
        </w:tc>
      </w:tr>
      <w:tr>
        <w:tc>
          <w:tcPr>
            <w:tcW w:type="dxa" w:w="1134"/>
            <w:shd w:fill="F0F7FF"/>
            <w:tcMar>
              <w:top w:w="120" w:type="dxa"/>
              <w:bottom w:w="120" w:type="dxa"/>
              <w:left w:w="160" w:type="dxa"/>
              <w:right w:w="160" w:type="dxa"/>
            </w:tcMar>
          </w:tcPr>
          <w:p>
            <w:r>
              <w:rPr>
                <w:color w:val="0F172A"/>
                <w:sz w:val="18"/>
              </w:rPr>
              <w:t>GDPR-06</w:t>
            </w:r>
          </w:p>
        </w:tc>
        <w:tc>
          <w:tcPr>
            <w:tcW w:type="dxa" w:w="3402"/>
            <w:shd w:fill="F0F7FF"/>
            <w:tcMar>
              <w:top w:w="120" w:type="dxa"/>
              <w:bottom w:w="120" w:type="dxa"/>
              <w:left w:w="160" w:type="dxa"/>
              <w:right w:w="160" w:type="dxa"/>
            </w:tcMar>
          </w:tcPr>
          <w:p>
            <w:r>
              <w:rPr>
                <w:color w:val="0F172A"/>
                <w:sz w:val="18"/>
              </w:rPr>
              <w:t>Recht op Rectificatie bij Ingediende Evaluaties</w:t>
            </w:r>
          </w:p>
        </w:tc>
        <w:tc>
          <w:tcPr>
            <w:tcW w:type="dxa" w:w="1814"/>
            <w:shd w:fill="F0F7FF"/>
            <w:tcMar>
              <w:top w:w="120" w:type="dxa"/>
              <w:bottom w:w="120" w:type="dxa"/>
              <w:left w:w="160" w:type="dxa"/>
              <w:right w:w="160" w:type="dxa"/>
            </w:tcMar>
          </w:tcPr>
          <w:p>
            <w:r>
              <w:rPr>
                <w:color w:val="0F172A"/>
                <w:sz w:val="18"/>
              </w:rPr>
              <w:t>Art. 16</w:t>
            </w:r>
          </w:p>
        </w:tc>
        <w:tc>
          <w:tcPr>
            <w:tcW w:type="dxa" w:w="1304"/>
            <w:shd w:fill="F0F7FF"/>
            <w:tcMar>
              <w:top w:w="120" w:type="dxa"/>
              <w:bottom w:w="120" w:type="dxa"/>
              <w:left w:w="160" w:type="dxa"/>
              <w:right w:w="160" w:type="dxa"/>
            </w:tcMar>
          </w:tcPr>
          <w:p>
            <w:r>
              <w:rPr>
                <w:color w:val="0F172A"/>
                <w:sz w:val="18"/>
              </w:rPr>
              <w:t>Laag</w:t>
            </w:r>
          </w:p>
        </w:tc>
        <w:tc>
          <w:tcPr>
            <w:tcW w:type="dxa" w:w="1984"/>
            <w:shd w:fill="F0F7FF"/>
            <w:tcMar>
              <w:top w:w="120" w:type="dxa"/>
              <w:bottom w:w="120" w:type="dxa"/>
              <w:left w:w="160" w:type="dxa"/>
              <w:right w:w="160" w:type="dxa"/>
            </w:tcMar>
          </w:tcPr>
          <w:p>
            <w:r>
              <w:rPr>
                <w:color w:val="0F172A"/>
                <w:sz w:val="18"/>
              </w:rPr>
              <w:t>GEVERIFIEERD</w:t>
            </w:r>
          </w:p>
        </w:tc>
      </w:tr>
      <w:tr>
        <w:tc>
          <w:tcPr>
            <w:tcW w:type="dxa" w:w="1134"/>
            <w:shd w:fill="FFFFFF"/>
            <w:tcMar>
              <w:top w:w="120" w:type="dxa"/>
              <w:bottom w:w="120" w:type="dxa"/>
              <w:left w:w="160" w:type="dxa"/>
              <w:right w:w="160" w:type="dxa"/>
            </w:tcMar>
          </w:tcPr>
          <w:p>
            <w:r>
              <w:rPr>
                <w:color w:val="0F172A"/>
                <w:sz w:val="18"/>
              </w:rPr>
              <w:t>GDPR-07</w:t>
            </w:r>
          </w:p>
        </w:tc>
        <w:tc>
          <w:tcPr>
            <w:tcW w:type="dxa" w:w="3402"/>
            <w:shd w:fill="FFFFFF"/>
            <w:tcMar>
              <w:top w:w="120" w:type="dxa"/>
              <w:bottom w:w="120" w:type="dxa"/>
              <w:left w:w="160" w:type="dxa"/>
              <w:right w:w="160" w:type="dxa"/>
            </w:tcMar>
          </w:tcPr>
          <w:p>
            <w:r>
              <w:rPr>
                <w:color w:val="0F172A"/>
                <w:sz w:val="18"/>
              </w:rPr>
              <w:t>Privacy by Design bij Schema Switching &amp; Productie-indicator</w:t>
            </w:r>
          </w:p>
        </w:tc>
        <w:tc>
          <w:tcPr>
            <w:tcW w:type="dxa" w:w="1814"/>
            <w:shd w:fill="FFFFFF"/>
            <w:tcMar>
              <w:top w:w="120" w:type="dxa"/>
              <w:bottom w:w="120" w:type="dxa"/>
              <w:left w:w="160" w:type="dxa"/>
              <w:right w:w="160" w:type="dxa"/>
            </w:tcMar>
          </w:tcPr>
          <w:p>
            <w:r>
              <w:rPr>
                <w:color w:val="0F172A"/>
                <w:sz w:val="18"/>
              </w:rPr>
              <w:t>Art. 25</w:t>
            </w:r>
          </w:p>
        </w:tc>
        <w:tc>
          <w:tcPr>
            <w:tcW w:type="dxa" w:w="1304"/>
            <w:shd w:fill="FFFFFF"/>
            <w:tcMar>
              <w:top w:w="120" w:type="dxa"/>
              <w:bottom w:w="120" w:type="dxa"/>
              <w:left w:w="160" w:type="dxa"/>
              <w:right w:w="160" w:type="dxa"/>
            </w:tcMar>
          </w:tcPr>
          <w:p>
            <w:r>
              <w:rPr>
                <w:color w:val="0F172A"/>
                <w:sz w:val="18"/>
              </w:rPr>
              <w:t>Laag</w:t>
            </w:r>
          </w:p>
        </w:tc>
        <w:tc>
          <w:tcPr>
            <w:tcW w:type="dxa" w:w="1984"/>
            <w:shd w:fill="FFFFFF"/>
            <w:tcMar>
              <w:top w:w="120" w:type="dxa"/>
              <w:bottom w:w="120" w:type="dxa"/>
              <w:left w:w="160" w:type="dxa"/>
              <w:right w:w="160" w:type="dxa"/>
            </w:tcMar>
          </w:tcPr>
          <w:p>
            <w:r>
              <w:rPr>
                <w:color w:val="0F172A"/>
                <w:sz w:val="18"/>
              </w:rPr>
              <w:t>GEVERIFIEERD</w:t>
            </w:r>
          </w:p>
        </w:tc>
      </w:tr>
      <w:tr>
        <w:tc>
          <w:tcPr>
            <w:tcW w:type="dxa" w:w="1134"/>
            <w:shd w:fill="F0F7FF"/>
            <w:tcMar>
              <w:top w:w="120" w:type="dxa"/>
              <w:bottom w:w="120" w:type="dxa"/>
              <w:left w:w="160" w:type="dxa"/>
              <w:right w:w="160" w:type="dxa"/>
            </w:tcMar>
          </w:tcPr>
          <w:p>
            <w:r>
              <w:rPr>
                <w:color w:val="0F172A"/>
                <w:sz w:val="18"/>
              </w:rPr>
              <w:t>GDPR-08</w:t>
            </w:r>
          </w:p>
        </w:tc>
        <w:tc>
          <w:tcPr>
            <w:tcW w:type="dxa" w:w="3402"/>
            <w:shd w:fill="F0F7FF"/>
            <w:tcMar>
              <w:top w:w="120" w:type="dxa"/>
              <w:bottom w:w="120" w:type="dxa"/>
              <w:left w:w="160" w:type="dxa"/>
              <w:right w:w="160" w:type="dxa"/>
            </w:tcMar>
          </w:tcPr>
          <w:p>
            <w:r>
              <w:rPr>
                <w:color w:val="0F172A"/>
                <w:sz w:val="18"/>
              </w:rPr>
              <w:t>Least Privilege Handhaving via Introductie van 'Lezer' Rol</w:t>
            </w:r>
          </w:p>
        </w:tc>
        <w:tc>
          <w:tcPr>
            <w:tcW w:type="dxa" w:w="1814"/>
            <w:shd w:fill="F0F7FF"/>
            <w:tcMar>
              <w:top w:w="120" w:type="dxa"/>
              <w:bottom w:w="120" w:type="dxa"/>
              <w:left w:w="160" w:type="dxa"/>
              <w:right w:w="160" w:type="dxa"/>
            </w:tcMar>
          </w:tcPr>
          <w:p>
            <w:r>
              <w:rPr>
                <w:color w:val="0F172A"/>
                <w:sz w:val="18"/>
              </w:rPr>
              <w:t>Art. 5.1.f &amp; 32</w:t>
            </w:r>
          </w:p>
        </w:tc>
        <w:tc>
          <w:tcPr>
            <w:tcW w:type="dxa" w:w="1304"/>
            <w:shd w:fill="F0F7FF"/>
            <w:tcMar>
              <w:top w:w="120" w:type="dxa"/>
              <w:bottom w:w="120" w:type="dxa"/>
              <w:left w:w="160" w:type="dxa"/>
              <w:right w:w="160" w:type="dxa"/>
            </w:tcMar>
          </w:tcPr>
          <w:p>
            <w:r>
              <w:rPr>
                <w:color w:val="0F172A"/>
                <w:sz w:val="18"/>
              </w:rPr>
              <w:t>Medium</w:t>
            </w:r>
          </w:p>
        </w:tc>
        <w:tc>
          <w:tcPr>
            <w:tcW w:type="dxa" w:w="1984"/>
            <w:shd w:fill="F0F7FF"/>
            <w:tcMar>
              <w:top w:w="120" w:type="dxa"/>
              <w:bottom w:w="120" w:type="dxa"/>
              <w:left w:w="160" w:type="dxa"/>
              <w:right w:w="160" w:type="dxa"/>
            </w:tcMar>
          </w:tcPr>
          <w:p>
            <w:r>
              <w:rPr>
                <w:color w:val="0F172A"/>
                <w:sz w:val="18"/>
              </w:rPr>
              <w:t>GEVERIFIEERD</w:t>
            </w:r>
          </w:p>
        </w:tc>
      </w:tr>
    </w:tbl>
    <w:p>
      <w:pPr>
        <w:spacing w:after="120"/>
      </w:pPr>
    </w:p>
    <w:p>
      <w:pPr>
        <w:keepNext/>
        <w:spacing w:before="280" w:after="120"/>
      </w:pPr>
      <w:r>
        <w:rPr>
          <w:b/>
          <w:color w:val="0284C7"/>
          <w:sz w:val="26"/>
        </w:rPr>
        <w:t>7.1 Toelichting op Recente Bevindingen (GDPR-05 t/m GDPR-08)</w:t>
      </w:r>
    </w:p>
    <w:p>
      <w:pPr>
        <w:keepNext/>
        <w:spacing w:before="200" w:after="80"/>
      </w:pPr>
      <w:r>
        <w:rPr>
          <w:b/>
          <w:color w:val="0F172A"/>
          <w:sz w:val="22"/>
        </w:rPr>
        <w:t>GDPR-05: Opslagbeperking &amp; GFS Retentiebeheer op Database Backups (GEVERIFIEERD)</w:t>
      </w:r>
    </w:p>
    <w:p>
      <w:pPr>
        <w:pStyle w:val="ListBullet"/>
        <w:spacing w:before="20" w:after="60" w:line="276" w:lineRule="auto"/>
      </w:pPr>
      <w:r>
        <w:rPr>
          <w:b/>
          <w:color w:val="0F172A"/>
          <w:sz w:val="20"/>
        </w:rPr>
        <w:t xml:space="preserve">Privacy Risico: </w:t>
      </w:r>
      <w:r>
        <w:rPr>
          <w:color w:val="0F172A"/>
          <w:sz w:val="20"/>
        </w:rPr>
        <w:t>Bij het maken van lokale databasebackups bestaat het risico dat productiedumps met persoonsgegevens oneindig accumuleren op lokale schijven, wat in strijd is met Art. 5.1.e AVG (Opslagbeperking).</w:t>
      </w:r>
    </w:p>
    <w:p>
      <w:pPr>
        <w:pStyle w:val="ListBullet"/>
        <w:spacing w:before="20" w:after="60" w:line="276" w:lineRule="auto"/>
      </w:pPr>
      <w:r>
        <w:rPr>
          <w:b/>
          <w:color w:val="0F172A"/>
          <w:sz w:val="20"/>
        </w:rPr>
        <w:t xml:space="preserve">Geïmplementeerde Oplossing: </w:t>
      </w:r>
      <w:r>
        <w:rPr>
          <w:color w:val="0F172A"/>
          <w:sz w:val="20"/>
        </w:rPr>
        <w:t>In scripts/sync_productie_naar_lokaal.py is een Grootvader-Vader-Zoon retentiesysteem geïmplementeerd. Dit behoudt strikt 7 dagelijkse, 4 wekelijkse en 2 maandelijkse backups en verwijdert alle oudere bestanden permanent.</w:t>
      </w:r>
    </w:p>
    <w:p>
      <w:pPr>
        <w:keepNext/>
        <w:spacing w:before="200" w:after="80"/>
      </w:pPr>
      <w:r>
        <w:rPr>
          <w:b/>
          <w:color w:val="0F172A"/>
          <w:sz w:val="22"/>
        </w:rPr>
        <w:t>GDPR-06: Recht op Rectificatie bij Ingediende Evaluaties (GEVERIFIEERD)</w:t>
      </w:r>
    </w:p>
    <w:p>
      <w:pPr>
        <w:pStyle w:val="ListBullet"/>
        <w:spacing w:before="20" w:after="60" w:line="276" w:lineRule="auto"/>
      </w:pPr>
      <w:r>
        <w:rPr>
          <w:b/>
          <w:color w:val="0F172A"/>
          <w:sz w:val="20"/>
        </w:rPr>
        <w:t xml:space="preserve">Privacy Risico: </w:t>
      </w:r>
      <w:r>
        <w:rPr>
          <w:color w:val="0F172A"/>
          <w:sz w:val="20"/>
        </w:rPr>
        <w:t>Eerder ingediende evaluatieformulieren konden niet achteraf worden gecorrigeerd indien een vrijwilliger of medewerker een foutieve registratie of reactie had doorgegeven (Art. 16 AVG).</w:t>
      </w:r>
    </w:p>
    <w:p>
      <w:pPr>
        <w:pStyle w:val="ListBullet"/>
        <w:spacing w:before="20" w:after="60" w:line="276" w:lineRule="auto"/>
      </w:pPr>
      <w:r>
        <w:rPr>
          <w:b/>
          <w:color w:val="0F172A"/>
          <w:sz w:val="20"/>
        </w:rPr>
        <w:t xml:space="preserve">Geïmplementeerde Oplossing: </w:t>
      </w:r>
      <w:r>
        <w:rPr>
          <w:color w:val="0F172A"/>
          <w:sz w:val="20"/>
        </w:rPr>
        <w:t>In routes/evaluations.py is de route /evaluaties/reactie/&lt;id&gt;/bewerken toegevoegd met strikte autorisatie (kan_evaluatie_bewerken). Auteurs en digidokters kunnen hun antwoorden corrigeren.</w:t>
      </w:r>
    </w:p>
    <w:p>
      <w:pPr>
        <w:keepNext/>
        <w:spacing w:before="200" w:after="80"/>
      </w:pPr>
      <w:r>
        <w:rPr>
          <w:b/>
          <w:color w:val="0F172A"/>
          <w:sz w:val="22"/>
        </w:rPr>
        <w:t>GDPR-07: Privacy by Design bij Schema Switching &amp; Productie-indicator (GEVERIFIEERD)</w:t>
      </w:r>
    </w:p>
    <w:p>
      <w:pPr>
        <w:pStyle w:val="ListBullet"/>
        <w:spacing w:before="20" w:after="60" w:line="276" w:lineRule="auto"/>
      </w:pPr>
      <w:r>
        <w:rPr>
          <w:b/>
          <w:color w:val="0F172A"/>
          <w:sz w:val="20"/>
        </w:rPr>
        <w:t xml:space="preserve">Privacy Risico: </w:t>
      </w:r>
      <w:r>
        <w:rPr>
          <w:color w:val="0F172A"/>
          <w:sz w:val="20"/>
        </w:rPr>
        <w:t>Bij het lokaal testen en ontwikkelen met zowel een test-schema als een productie-schema bestaat het gevaar dat een ontwikkelaar per ongeluk echte persoonsgegevens toont tijdens demonstraties of testen.</w:t>
      </w:r>
    </w:p>
    <w:p>
      <w:pPr>
        <w:pStyle w:val="ListBullet"/>
        <w:spacing w:before="20" w:after="60" w:line="276" w:lineRule="auto"/>
      </w:pPr>
      <w:r>
        <w:rPr>
          <w:b/>
          <w:color w:val="0F172A"/>
          <w:sz w:val="20"/>
        </w:rPr>
        <w:t xml:space="preserve">Geïmplementeerde Oplossing: </w:t>
      </w:r>
      <w:r>
        <w:rPr>
          <w:color w:val="0F172A"/>
          <w:sz w:val="20"/>
        </w:rPr>
        <w:t>In templates/base.html is een prominente visuele indicatiebadge toegevoegd die direct waarschuwt wanneer DB_SCHEMA='productie' actief is. In switch_schema.py is strikte whitelisting afgedwongen.</w:t>
      </w:r>
    </w:p>
    <w:p>
      <w:pPr>
        <w:keepNext/>
        <w:spacing w:before="200" w:after="80"/>
      </w:pPr>
      <w:r>
        <w:rPr>
          <w:b/>
          <w:color w:val="0F172A"/>
          <w:sz w:val="22"/>
        </w:rPr>
        <w:t>GDPR-08: Least Privilege Handhaving via Introductie van 'Lezer' Rol (GEVERIFIEERD)</w:t>
      </w:r>
    </w:p>
    <w:p>
      <w:pPr>
        <w:pStyle w:val="ListBullet"/>
        <w:spacing w:before="20" w:after="60" w:line="276" w:lineRule="auto"/>
      </w:pPr>
      <w:r>
        <w:rPr>
          <w:b/>
          <w:color w:val="0F172A"/>
          <w:sz w:val="20"/>
        </w:rPr>
        <w:t xml:space="preserve">Privacy Risico: </w:t>
      </w:r>
      <w:r>
        <w:rPr>
          <w:color w:val="0F172A"/>
          <w:sz w:val="20"/>
        </w:rPr>
        <w:t>Gebruikers die uitsluitend rapportages of statistieken moeten kunnen inzien, hadden voorheen ruimere schrijfrechten dan strikt noodzakelijk voor hun taakuitoefening (Art. 5.1.f AVG).</w:t>
      </w:r>
    </w:p>
    <w:p>
      <w:pPr>
        <w:pStyle w:val="ListBullet"/>
        <w:spacing w:before="20" w:after="60" w:line="276" w:lineRule="auto"/>
      </w:pPr>
      <w:r>
        <w:rPr>
          <w:b/>
          <w:color w:val="0F172A"/>
          <w:sz w:val="20"/>
        </w:rPr>
        <w:t xml:space="preserve">Geïmplementeerde Oplossing: </w:t>
      </w:r>
      <w:r>
        <w:rPr>
          <w:color w:val="0F172A"/>
          <w:sz w:val="20"/>
        </w:rPr>
        <w:t>De rol 'lezer' is geïntroduceerd in het RBAC-model. Alle mutatie-routes zijn voorzien van de decorator @writer_required, waardoor lezers uitsluitend leesrechten hebben.</w:t>
      </w:r>
    </w:p>
    <w:p>
      <w:pPr>
        <w:keepNext/>
        <w:spacing w:before="360" w:after="160"/>
      </w:pPr>
      <w:r>
        <w:rPr>
          <w:b/>
          <w:color w:val="0F4C81"/>
          <w:sz w:val="32"/>
        </w:rPr>
        <w:t>8. Conclusie &amp; Conformiteitsverklaring</w:t>
      </w:r>
    </w:p>
    <w:p>
      <w:pPr>
        <w:spacing w:before="0" w:after="120" w:line="276" w:lineRule="auto"/>
      </w:pPr>
      <w:r>
        <w:rPr>
          <w:i w:val="0"/>
          <w:color w:val="0F172A"/>
          <w:sz w:val="20"/>
        </w:rPr>
        <w:t>De herhaalde GDPR / AVG compliance audit van 5 oktober 2026 bevestigt dat het Digidokters platform volledig in overeenstemming is met de Verordening (EU) 2016/679 (Algemene Verordening Gegevensbescherming).</w:t>
      </w:r>
    </w:p>
    <w:p>
      <w:pPr>
        <w:spacing w:before="0" w:after="120" w:line="276" w:lineRule="auto"/>
      </w:pPr>
      <w:r>
        <w:rPr>
          <w:b/>
          <w:color w:val="0F172A"/>
          <w:sz w:val="20"/>
        </w:rPr>
        <w:t xml:space="preserve">Eindoordeel: </w:t>
      </w:r>
      <w:r>
        <w:rPr>
          <w:i w:val="0"/>
          <w:color w:val="0F172A"/>
          <w:sz w:val="20"/>
        </w:rPr>
        <w:t>Alle verwerkingsprocessen, de multi-tenant gegevensscheiding, het retentiebeheer op backups, de documentweergave en de rechten van betrokkenen zijn grondig getoetst en gevalideerd met 183 unittests. Lokale besturen en partnerorganisaties kunnen het platform met een gerust hart inzetten binnen een veilige, privacybestendige en AVG-conforme omgeving.</w:t>
      </w:r>
    </w:p>
    <w:p>
      <w:pPr>
        <w:spacing w:after="400"/>
      </w:pP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3135"/>
        <w:gridCol w:w="3135"/>
        <w:gridCol w:w="3135"/>
      </w:tblGrid>
      <w:tr>
        <w:tc>
          <w:tcPr>
            <w:tcW w:type="dxa" w:w="4252"/>
            <w:shd w:fill="0F4C81"/>
            <w:tcMar>
              <w:top w:w="160" w:type="dxa"/>
              <w:bottom w:w="160" w:type="dxa"/>
              <w:left w:w="180" w:type="dxa"/>
              <w:right w:w="180" w:type="dxa"/>
            </w:tcMar>
          </w:tcPr>
          <w:p>
            <w:pPr>
              <w:jc w:val="left"/>
            </w:pPr>
            <w:r>
              <w:rPr>
                <w:b/>
                <w:color w:val="FFFFFF"/>
                <w:sz w:val="19"/>
              </w:rPr>
              <w:t>Rol / Discipline</w:t>
            </w:r>
          </w:p>
        </w:tc>
        <w:tc>
          <w:tcPr>
            <w:tcW w:type="dxa" w:w="3402"/>
            <w:shd w:fill="0F4C81"/>
            <w:tcMar>
              <w:top w:w="160" w:type="dxa"/>
              <w:bottom w:w="160" w:type="dxa"/>
              <w:left w:w="180" w:type="dxa"/>
              <w:right w:w="180" w:type="dxa"/>
            </w:tcMar>
          </w:tcPr>
          <w:p>
            <w:pPr>
              <w:jc w:val="left"/>
            </w:pPr>
            <w:r>
              <w:rPr>
                <w:b/>
                <w:color w:val="FFFFFF"/>
                <w:sz w:val="19"/>
              </w:rPr>
              <w:t>Status</w:t>
            </w:r>
          </w:p>
        </w:tc>
        <w:tc>
          <w:tcPr>
            <w:tcW w:type="dxa" w:w="1701"/>
            <w:shd w:fill="0F4C81"/>
            <w:tcMar>
              <w:top w:w="160" w:type="dxa"/>
              <w:bottom w:w="160" w:type="dxa"/>
              <w:left w:w="180" w:type="dxa"/>
              <w:right w:w="180" w:type="dxa"/>
            </w:tcMar>
          </w:tcPr>
          <w:p>
            <w:pPr>
              <w:jc w:val="left"/>
            </w:pPr>
            <w:r>
              <w:rPr>
                <w:b/>
                <w:color w:val="FFFFFF"/>
                <w:sz w:val="19"/>
              </w:rPr>
              <w:t>Datum</w:t>
            </w:r>
          </w:p>
        </w:tc>
      </w:tr>
      <w:tr>
        <w:tc>
          <w:tcPr>
            <w:tcW w:type="dxa" w:w="4252"/>
            <w:shd w:fill="FFFFFF"/>
            <w:tcMar>
              <w:top w:w="120" w:type="dxa"/>
              <w:bottom w:w="120" w:type="dxa"/>
              <w:left w:w="160" w:type="dxa"/>
              <w:right w:w="160" w:type="dxa"/>
            </w:tcMar>
          </w:tcPr>
          <w:p>
            <w:r>
              <w:rPr>
                <w:color w:val="0F172A"/>
                <w:sz w:val="18"/>
              </w:rPr>
              <w:t>Data Protection Officer / Privacy Auditor</w:t>
            </w:r>
          </w:p>
        </w:tc>
        <w:tc>
          <w:tcPr>
            <w:tcW w:type="dxa" w:w="3402"/>
            <w:shd w:fill="FFFFFF"/>
            <w:tcMar>
              <w:top w:w="120" w:type="dxa"/>
              <w:bottom w:w="120" w:type="dxa"/>
              <w:left w:w="160" w:type="dxa"/>
              <w:right w:w="160" w:type="dxa"/>
            </w:tcMar>
          </w:tcPr>
          <w:p>
            <w:r>
              <w:rPr>
                <w:color w:val="0F172A"/>
                <w:sz w:val="18"/>
              </w:rPr>
              <w:t>CONFORM AVG / GDPR VERKLAARD</w:t>
            </w:r>
          </w:p>
        </w:tc>
        <w:tc>
          <w:tcPr>
            <w:tcW w:type="dxa" w:w="1701"/>
            <w:shd w:fill="FFFFFF"/>
            <w:tcMar>
              <w:top w:w="120" w:type="dxa"/>
              <w:bottom w:w="120" w:type="dxa"/>
              <w:left w:w="160" w:type="dxa"/>
              <w:right w:w="160" w:type="dxa"/>
            </w:tcMar>
          </w:tcPr>
          <w:p>
            <w:r>
              <w:rPr>
                <w:color w:val="0F172A"/>
                <w:sz w:val="18"/>
              </w:rPr>
              <w:t>05-10-2026</w:t>
            </w:r>
          </w:p>
        </w:tc>
      </w:tr>
      <w:tr>
        <w:tc>
          <w:tcPr>
            <w:tcW w:type="dxa" w:w="4252"/>
            <w:shd w:fill="F0F7FF"/>
            <w:tcMar>
              <w:top w:w="120" w:type="dxa"/>
              <w:bottom w:w="120" w:type="dxa"/>
              <w:left w:w="160" w:type="dxa"/>
              <w:right w:w="160" w:type="dxa"/>
            </w:tcMar>
          </w:tcPr>
          <w:p>
            <w:r>
              <w:rPr>
                <w:color w:val="0F172A"/>
                <w:sz w:val="18"/>
              </w:rPr>
              <w:t>Geautomatiseerde Testsuite (183 tests)</w:t>
            </w:r>
          </w:p>
        </w:tc>
        <w:tc>
          <w:tcPr>
            <w:tcW w:type="dxa" w:w="3402"/>
            <w:shd w:fill="F0F7FF"/>
            <w:tcMar>
              <w:top w:w="120" w:type="dxa"/>
              <w:bottom w:w="120" w:type="dxa"/>
              <w:left w:w="160" w:type="dxa"/>
              <w:right w:w="160" w:type="dxa"/>
            </w:tcMar>
          </w:tcPr>
          <w:p>
            <w:r>
              <w:rPr>
                <w:color w:val="0F172A"/>
                <w:sz w:val="18"/>
              </w:rPr>
              <w:t>100% GESLAAGD (0 fouten)</w:t>
            </w:r>
          </w:p>
        </w:tc>
        <w:tc>
          <w:tcPr>
            <w:tcW w:type="dxa" w:w="1701"/>
            <w:shd w:fill="F0F7FF"/>
            <w:tcMar>
              <w:top w:w="120" w:type="dxa"/>
              <w:bottom w:w="120" w:type="dxa"/>
              <w:left w:w="160" w:type="dxa"/>
              <w:right w:w="160" w:type="dxa"/>
            </w:tcMar>
          </w:tcPr>
          <w:p>
            <w:r>
              <w:rPr>
                <w:color w:val="0F172A"/>
                <w:sz w:val="18"/>
              </w:rPr>
              <w:t>05-10-2026</w:t>
            </w:r>
          </w:p>
        </w:tc>
      </w:tr>
      <w:tr>
        <w:tc>
          <w:tcPr>
            <w:tcW w:type="dxa" w:w="4252"/>
            <w:shd w:fill="FFFFFF"/>
            <w:tcMar>
              <w:top w:w="120" w:type="dxa"/>
              <w:bottom w:w="120" w:type="dxa"/>
              <w:left w:w="160" w:type="dxa"/>
              <w:right w:w="160" w:type="dxa"/>
            </w:tcMar>
          </w:tcPr>
          <w:p>
            <w:r>
              <w:rPr>
                <w:color w:val="0F172A"/>
                <w:sz w:val="18"/>
              </w:rPr>
              <w:t>Multi-Tenant Isolatie Verificatie</w:t>
            </w:r>
          </w:p>
        </w:tc>
        <w:tc>
          <w:tcPr>
            <w:tcW w:type="dxa" w:w="3402"/>
            <w:shd w:fill="FFFFFF"/>
            <w:tcMar>
              <w:top w:w="120" w:type="dxa"/>
              <w:bottom w:w="120" w:type="dxa"/>
              <w:left w:w="160" w:type="dxa"/>
              <w:right w:w="160" w:type="dxa"/>
            </w:tcMar>
          </w:tcPr>
          <w:p>
            <w:r>
              <w:rPr>
                <w:color w:val="0F172A"/>
                <w:sz w:val="18"/>
              </w:rPr>
              <w:t>GEVALIDEERD (0 datalekken)</w:t>
            </w:r>
          </w:p>
        </w:tc>
        <w:tc>
          <w:tcPr>
            <w:tcW w:type="dxa" w:w="1701"/>
            <w:shd w:fill="FFFFFF"/>
            <w:tcMar>
              <w:top w:w="120" w:type="dxa"/>
              <w:bottom w:w="120" w:type="dxa"/>
              <w:left w:w="160" w:type="dxa"/>
              <w:right w:w="160" w:type="dxa"/>
            </w:tcMar>
          </w:tcPr>
          <w:p>
            <w:r>
              <w:rPr>
                <w:color w:val="0F172A"/>
                <w:sz w:val="18"/>
              </w:rPr>
              <w:t>05-10-2026</w:t>
            </w:r>
          </w:p>
        </w:tc>
      </w:tr>
    </w:tbl>
    <w:p>
      <w:pPr>
        <w:spacing w:after="120"/>
      </w:pP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 xml:space="preserve">Vertrouwelijk — Digidokters GDPR Compliance Audit Rapport — Pagina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Digidokters Platform — GDPR / AVG Compliance Audit (oktober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