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4C81"/>
          <w:sz w:val="56"/>
        </w:rPr>
        <w:t>DIGIDOKTERS</w:t>
        <w:br/>
      </w:r>
      <w:r>
        <w:rPr>
          <w:rFonts w:ascii="Calibri" w:hAnsi="Calibri"/>
          <w:b/>
          <w:color w:val="0284C7"/>
          <w:sz w:val="32"/>
        </w:rPr>
        <w:t>GDPR / AVG Compliance Audit &amp; Privacy Review</w:t>
        <w:br/>
      </w:r>
      <w:r>
        <w:rPr>
          <w:rFonts w:ascii="Calibri" w:hAnsi="Calibri"/>
          <w:color w:val="64748B"/>
          <w:sz w:val="22"/>
        </w:rPr>
        <w:t>Herhaalde Privacy- en Gegevensbeschermingsaudit (27 oktober 2026)</w:t>
        <w:br/>
        <w:t>Toetsing van Systeemmonitor, Telemetrie, Foutenlogs, Sorteerbare Audit Trail, Organisatiewissel Contextbehoud, Resultaatregistratie, Dynamisch RBAC &amp; TOM's</w:t>
      </w:r>
    </w:p>
    <w:p>
      <w:pPr>
        <w:spacing w:after="120"/>
      </w:pPr>
    </w:p>
    <w:tbl>
      <w:tblPr>
        <w:tblStyle w:val="TableGrid"/>
        <w:tblW w:type="auto" w:w="0"/>
        <w:tblLayout w:type="fixed"/>
        <w:tblLook w:firstColumn="1" w:firstRow="1" w:lastColumn="0" w:lastRow="0" w:noHBand="0" w:noVBand="1" w:val="04A0"/>
      </w:tblPr>
      <w:tblGrid>
        <w:gridCol w:w="4986"/>
        <w:gridCol w:w="4986"/>
      </w:tblGrid>
      <w:tr>
        <w:tc>
          <w:tcPr>
            <w:tcW w:type="dxa" w:w="3118"/>
            <w:shd w:fill="0F4C81"/>
            <w:tcMar>
              <w:top w:w="120" w:type="dxa"/>
              <w:bottom w:w="120" w:type="dxa"/>
              <w:left w:w="140" w:type="dxa"/>
              <w:right w:w="140" w:type="dxa"/>
            </w:tcMar>
          </w:tcPr>
          <w:p>
            <w:pPr>
              <w:spacing w:before="0" w:after="0"/>
            </w:pPr>
            <w:r>
              <w:rPr>
                <w:rFonts w:ascii="Calibri" w:hAnsi="Calibri"/>
                <w:b/>
                <w:color w:val="FFFFFF"/>
                <w:sz w:val="20"/>
              </w:rPr>
              <w:t>Audit Eigenschap</w:t>
            </w:r>
          </w:p>
        </w:tc>
        <w:tc>
          <w:tcPr>
            <w:tcW w:type="dxa" w:w="6236"/>
            <w:shd w:fill="0F4C81"/>
            <w:tcMar>
              <w:top w:w="120" w:type="dxa"/>
              <w:bottom w:w="120" w:type="dxa"/>
              <w:left w:w="140" w:type="dxa"/>
              <w:right w:w="140" w:type="dxa"/>
            </w:tcMar>
          </w:tcPr>
          <w:p>
            <w:pPr>
              <w:spacing w:before="0" w:after="0"/>
            </w:pPr>
            <w:r>
              <w:rPr>
                <w:rFonts w:ascii="Calibri" w:hAnsi="Calibri"/>
                <w:b/>
                <w:color w:val="FFFFFF"/>
                <w:sz w:val="20"/>
              </w:rPr>
              <w:t>Specificatie</w:t>
            </w:r>
          </w:p>
        </w:tc>
      </w:tr>
      <w:tr>
        <w:tc>
          <w:tcPr>
            <w:tcW w:type="dxa" w:w="3118"/>
            <w:shd w:fill="FFFFFF"/>
            <w:tcMar>
              <w:top w:w="100" w:type="dxa"/>
              <w:bottom w:w="100" w:type="dxa"/>
              <w:left w:w="140" w:type="dxa"/>
              <w:right w:w="140" w:type="dxa"/>
            </w:tcMar>
          </w:tcPr>
          <w:p>
            <w:pPr>
              <w:spacing w:before="0" w:after="0" w:line="264" w:lineRule="auto"/>
            </w:pPr>
            <w:r>
              <w:rPr>
                <w:rFonts w:ascii="Calibri" w:hAnsi="Calibri"/>
                <w:color w:val="0F172A"/>
                <w:sz w:val="19"/>
              </w:rPr>
              <w:t>Applicatienaam</w:t>
            </w:r>
          </w:p>
        </w:tc>
        <w:tc>
          <w:tcPr>
            <w:tcW w:type="dxa" w:w="6236"/>
            <w:shd w:fill="FFFFFF"/>
            <w:tcMar>
              <w:top w:w="100" w:type="dxa"/>
              <w:bottom w:w="100" w:type="dxa"/>
              <w:left w:w="140" w:type="dxa"/>
              <w:right w:w="140" w:type="dxa"/>
            </w:tcMar>
          </w:tcPr>
          <w:p>
            <w:pPr>
              <w:spacing w:before="0" w:after="0" w:line="264" w:lineRule="auto"/>
            </w:pPr>
            <w:r>
              <w:rPr>
                <w:rFonts w:ascii="Calibri" w:hAnsi="Calibri"/>
                <w:color w:val="0F172A"/>
                <w:sz w:val="19"/>
              </w:rPr>
              <w:t>Digidokters Platform (Multi-Organisatie Digipunt Beheersysteem)</w:t>
            </w:r>
          </w:p>
        </w:tc>
      </w:tr>
      <w:tr>
        <w:tc>
          <w:tcPr>
            <w:tcW w:type="dxa" w:w="3118"/>
            <w:shd w:fill="F8FAFC"/>
            <w:tcMar>
              <w:top w:w="100" w:type="dxa"/>
              <w:bottom w:w="100" w:type="dxa"/>
              <w:left w:w="140" w:type="dxa"/>
              <w:right w:w="140" w:type="dxa"/>
            </w:tcMar>
          </w:tcPr>
          <w:p>
            <w:pPr>
              <w:spacing w:before="0" w:after="0" w:line="264" w:lineRule="auto"/>
            </w:pPr>
            <w:r>
              <w:rPr>
                <w:rFonts w:ascii="Calibri" w:hAnsi="Calibri"/>
                <w:color w:val="0F172A"/>
                <w:sz w:val="19"/>
              </w:rPr>
              <w:t>Auditdatum</w:t>
            </w:r>
          </w:p>
        </w:tc>
        <w:tc>
          <w:tcPr>
            <w:tcW w:type="dxa" w:w="6236"/>
            <w:shd w:fill="F8FAFC"/>
            <w:tcMar>
              <w:top w:w="100" w:type="dxa"/>
              <w:bottom w:w="100" w:type="dxa"/>
              <w:left w:w="140" w:type="dxa"/>
              <w:right w:w="140" w:type="dxa"/>
            </w:tcMar>
          </w:tcPr>
          <w:p>
            <w:pPr>
              <w:spacing w:before="0" w:after="0" w:line="264" w:lineRule="auto"/>
            </w:pPr>
            <w:r>
              <w:rPr>
                <w:rFonts w:ascii="Calibri" w:hAnsi="Calibri"/>
                <w:color w:val="0F172A"/>
                <w:sz w:val="19"/>
              </w:rPr>
              <w:t>27 oktober 2026</w:t>
            </w:r>
          </w:p>
        </w:tc>
      </w:tr>
      <w:tr>
        <w:tc>
          <w:tcPr>
            <w:tcW w:type="dxa" w:w="3118"/>
            <w:shd w:fill="FFFFFF"/>
            <w:tcMar>
              <w:top w:w="100" w:type="dxa"/>
              <w:bottom w:w="100" w:type="dxa"/>
              <w:left w:w="140" w:type="dxa"/>
              <w:right w:w="140" w:type="dxa"/>
            </w:tcMar>
          </w:tcPr>
          <w:p>
            <w:pPr>
              <w:spacing w:before="0" w:after="0" w:line="264" w:lineRule="auto"/>
            </w:pPr>
            <w:r>
              <w:rPr>
                <w:rFonts w:ascii="Calibri" w:hAnsi="Calibri"/>
                <w:color w:val="0F172A"/>
                <w:sz w:val="19"/>
              </w:rPr>
              <w:t>Versie Rapport</w:t>
            </w:r>
          </w:p>
        </w:tc>
        <w:tc>
          <w:tcPr>
            <w:tcW w:type="dxa" w:w="6236"/>
            <w:shd w:fill="FFFFFF"/>
            <w:tcMar>
              <w:top w:w="100" w:type="dxa"/>
              <w:bottom w:w="100" w:type="dxa"/>
              <w:left w:w="140" w:type="dxa"/>
              <w:right w:w="140" w:type="dxa"/>
            </w:tcMar>
          </w:tcPr>
          <w:p>
            <w:pPr>
              <w:spacing w:before="0" w:after="0" w:line="264" w:lineRule="auto"/>
            </w:pPr>
            <w:r>
              <w:rPr>
                <w:rFonts w:ascii="Calibri" w:hAnsi="Calibri"/>
                <w:color w:val="0F172A"/>
                <w:sz w:val="19"/>
              </w:rPr>
              <w:t>Versie 4.0 (Herhaalde AVG/GDPR audit na Release 2.8.0, Systeemmonitor &amp; Telemetrie)</w:t>
            </w:r>
          </w:p>
        </w:tc>
      </w:tr>
      <w:tr>
        <w:tc>
          <w:tcPr>
            <w:tcW w:type="dxa" w:w="3118"/>
            <w:shd w:fill="F8FAFC"/>
            <w:tcMar>
              <w:top w:w="100" w:type="dxa"/>
              <w:bottom w:w="100" w:type="dxa"/>
              <w:left w:w="140" w:type="dxa"/>
              <w:right w:w="140" w:type="dxa"/>
            </w:tcMar>
          </w:tcPr>
          <w:p>
            <w:pPr>
              <w:spacing w:before="0" w:after="0" w:line="264" w:lineRule="auto"/>
            </w:pPr>
            <w:r>
              <w:rPr>
                <w:rFonts w:ascii="Calibri" w:hAnsi="Calibri"/>
                <w:color w:val="0F172A"/>
                <w:sz w:val="19"/>
              </w:rPr>
              <w:t>Wettelijk Kader</w:t>
            </w:r>
          </w:p>
        </w:tc>
        <w:tc>
          <w:tcPr>
            <w:tcW w:type="dxa" w:w="6236"/>
            <w:shd w:fill="F8FAFC"/>
            <w:tcMar>
              <w:top w:w="100" w:type="dxa"/>
              <w:bottom w:w="100" w:type="dxa"/>
              <w:left w:w="140" w:type="dxa"/>
              <w:right w:w="140" w:type="dxa"/>
            </w:tcMar>
          </w:tcPr>
          <w:p>
            <w:pPr>
              <w:spacing w:before="0" w:after="0" w:line="264" w:lineRule="auto"/>
            </w:pPr>
            <w:r>
              <w:rPr>
                <w:rFonts w:ascii="Calibri" w:hAnsi="Calibri"/>
                <w:color w:val="0F172A"/>
                <w:sz w:val="19"/>
              </w:rPr>
              <w:t>Verordening (EU) 2016/679 (Algemene Verordening Gegevensbescherming - AVG / GDPR)</w:t>
            </w:r>
          </w:p>
        </w:tc>
      </w:tr>
      <w:tr>
        <w:tc>
          <w:tcPr>
            <w:tcW w:type="dxa" w:w="3118"/>
            <w:shd w:fill="FFFFFF"/>
            <w:tcMar>
              <w:top w:w="100" w:type="dxa"/>
              <w:bottom w:w="100" w:type="dxa"/>
              <w:left w:w="140" w:type="dxa"/>
              <w:right w:w="140" w:type="dxa"/>
            </w:tcMar>
          </w:tcPr>
          <w:p>
            <w:pPr>
              <w:spacing w:before="0" w:after="0" w:line="264" w:lineRule="auto"/>
            </w:pPr>
            <w:r>
              <w:rPr>
                <w:rFonts w:ascii="Calibri" w:hAnsi="Calibri"/>
                <w:color w:val="0F172A"/>
                <w:sz w:val="19"/>
              </w:rPr>
              <w:t>Type Audit</w:t>
            </w:r>
          </w:p>
        </w:tc>
        <w:tc>
          <w:tcPr>
            <w:tcW w:type="dxa" w:w="6236"/>
            <w:shd w:fill="FFFFFF"/>
            <w:tcMar>
              <w:top w:w="100" w:type="dxa"/>
              <w:bottom w:w="100" w:type="dxa"/>
              <w:left w:w="140" w:type="dxa"/>
              <w:right w:w="140" w:type="dxa"/>
            </w:tcMar>
          </w:tcPr>
          <w:p>
            <w:pPr>
              <w:spacing w:before="0" w:after="0" w:line="264" w:lineRule="auto"/>
            </w:pPr>
            <w:r>
              <w:rPr>
                <w:rFonts w:ascii="Calibri" w:hAnsi="Calibri"/>
                <w:color w:val="0F172A"/>
                <w:sz w:val="19"/>
              </w:rPr>
              <w:t>Privacy Impact, Dataminimalisatie, Rechten van Betrokkenen, RBAC, Telemetrie &amp; TOM's</w:t>
            </w:r>
          </w:p>
        </w:tc>
      </w:tr>
      <w:tr>
        <w:tc>
          <w:tcPr>
            <w:tcW w:type="dxa" w:w="3118"/>
            <w:shd w:fill="F8FAFC"/>
            <w:tcMar>
              <w:top w:w="100" w:type="dxa"/>
              <w:bottom w:w="100" w:type="dxa"/>
              <w:left w:w="140" w:type="dxa"/>
              <w:right w:w="140" w:type="dxa"/>
            </w:tcMar>
          </w:tcPr>
          <w:p>
            <w:pPr>
              <w:spacing w:before="0" w:after="0" w:line="264" w:lineRule="auto"/>
            </w:pPr>
            <w:r>
              <w:rPr>
                <w:rFonts w:ascii="Calibri" w:hAnsi="Calibri"/>
                <w:color w:val="0F172A"/>
                <w:sz w:val="19"/>
              </w:rPr>
              <w:t>Onderzochte Componenten</w:t>
            </w:r>
          </w:p>
        </w:tc>
        <w:tc>
          <w:tcPr>
            <w:tcW w:type="dxa" w:w="6236"/>
            <w:shd w:fill="F8FAFC"/>
            <w:tcMar>
              <w:top w:w="100" w:type="dxa"/>
              <w:bottom w:w="100" w:type="dxa"/>
              <w:left w:w="140" w:type="dxa"/>
              <w:right w:w="140" w:type="dxa"/>
            </w:tcMar>
          </w:tcPr>
          <w:p>
            <w:pPr>
              <w:spacing w:before="0" w:after="0" w:line="264" w:lineRule="auto"/>
            </w:pPr>
            <w:r>
              <w:rPr>
                <w:rFonts w:ascii="Calibri" w:hAnsi="Calibri"/>
                <w:color w:val="0F172A"/>
                <w:sz w:val="19"/>
              </w:rPr>
              <w:t>Systeemmonitor Dashboard (/platform/systeemmonitor), Telemetrie (page_view_stats), Systeemfoutenlogboek (system_error_logs), Gebruikersactiviteit (users.laatste_activiteit), Sorteerbare Audit Logs (/beheer/audit-log) &amp; Dropdownfilters, Contextbehoud Organisatiewissel, Resultaat van het bezoek, Dynamische Permissiematrix, Restrictie Eigen Registraties, Organisatiecommunicatie, Zelfbediening Profielen, AI Vraagclassificatie (Gemini)</w:t>
            </w:r>
          </w:p>
        </w:tc>
      </w:tr>
      <w:tr>
        <w:tc>
          <w:tcPr>
            <w:tcW w:type="dxa" w:w="3118"/>
            <w:shd w:fill="FFFFFF"/>
            <w:tcMar>
              <w:top w:w="100" w:type="dxa"/>
              <w:bottom w:w="100" w:type="dxa"/>
              <w:left w:w="140" w:type="dxa"/>
              <w:right w:w="140" w:type="dxa"/>
            </w:tcMar>
          </w:tcPr>
          <w:p>
            <w:pPr>
              <w:spacing w:before="0" w:after="0" w:line="264" w:lineRule="auto"/>
            </w:pPr>
            <w:r>
              <w:rPr>
                <w:rFonts w:ascii="Calibri" w:hAnsi="Calibri"/>
                <w:color w:val="0F172A"/>
                <w:sz w:val="19"/>
              </w:rPr>
              <w:t>Geautomatiseerde Testsuite</w:t>
            </w:r>
          </w:p>
        </w:tc>
        <w:tc>
          <w:tcPr>
            <w:tcW w:type="dxa" w:w="6236"/>
            <w:shd w:fill="FFFFFF"/>
            <w:tcMar>
              <w:top w:w="100" w:type="dxa"/>
              <w:bottom w:w="100" w:type="dxa"/>
              <w:left w:w="140" w:type="dxa"/>
              <w:right w:w="140" w:type="dxa"/>
            </w:tcMar>
          </w:tcPr>
          <w:p>
            <w:pPr>
              <w:spacing w:before="0" w:after="0" w:line="264" w:lineRule="auto"/>
            </w:pPr>
            <w:r>
              <w:rPr>
                <w:rFonts w:ascii="Calibri" w:hAnsi="Calibri"/>
                <w:color w:val="0F172A"/>
                <w:sz w:val="19"/>
              </w:rPr>
              <w:t>295 unittests over 38 suites uitgevoerd (100% geslaagd, multi-tenant &amp; privacy tests)</w:t>
            </w:r>
          </w:p>
        </w:tc>
      </w:tr>
      <w:tr>
        <w:tc>
          <w:tcPr>
            <w:tcW w:type="dxa" w:w="3118"/>
            <w:shd w:fill="F8FAFC"/>
            <w:tcMar>
              <w:top w:w="100" w:type="dxa"/>
              <w:bottom w:w="100" w:type="dxa"/>
              <w:left w:w="140" w:type="dxa"/>
              <w:right w:w="140" w:type="dxa"/>
            </w:tcMar>
          </w:tcPr>
          <w:p>
            <w:pPr>
              <w:spacing w:before="0" w:after="0" w:line="264" w:lineRule="auto"/>
            </w:pPr>
            <w:r>
              <w:rPr>
                <w:rFonts w:ascii="Calibri" w:hAnsi="Calibri"/>
                <w:color w:val="0F172A"/>
                <w:sz w:val="19"/>
              </w:rPr>
              <w:t>Conformiteitsstatus</w:t>
            </w:r>
          </w:p>
        </w:tc>
        <w:tc>
          <w:tcPr>
            <w:tcW w:type="dxa" w:w="6236"/>
            <w:shd w:fill="F8FAFC"/>
            <w:tcMar>
              <w:top w:w="100" w:type="dxa"/>
              <w:bottom w:w="100" w:type="dxa"/>
              <w:left w:w="140" w:type="dxa"/>
              <w:right w:w="140" w:type="dxa"/>
            </w:tcMar>
          </w:tcPr>
          <w:p>
            <w:pPr>
              <w:spacing w:before="0" w:after="0" w:line="264" w:lineRule="auto"/>
            </w:pPr>
            <w:r>
              <w:rPr>
                <w:rFonts w:ascii="Calibri" w:hAnsi="Calibri"/>
                <w:color w:val="0F172A"/>
                <w:sz w:val="19"/>
              </w:rPr>
              <w:t>CONFORM AVG / GDPR (Volledig goedgekeurd)</w:t>
            </w:r>
          </w:p>
        </w:tc>
      </w:tr>
    </w:tbl>
    <w:p>
      <w:pPr>
        <w:spacing w:after="80"/>
      </w:pPr>
    </w:p>
    <w:tbl>
      <w:tblPr>
        <w:tblW w:type="auto" w:w="0"/>
        <w:tblLayout w:type="fixed"/>
        <w:tblLook w:firstColumn="1" w:firstRow="1" w:lastColumn="0" w:lastRow="0" w:noHBand="0" w:noVBand="1" w:val="04A0"/>
      </w:tblPr>
      <w:tblGrid>
        <w:gridCol w:w="9354"/>
      </w:tblGrid>
      <w:tr>
        <w:tc>
          <w:tcPr>
            <w:tcW w:type="dxa" w:w="9972"/>
            <w:shd w:fill="F0FDF4"/>
            <w:tcMar>
              <w:top w:w="140" w:type="dxa"/>
              <w:bottom w:w="140" w:type="dxa"/>
              <w:left w:w="200" w:type="dxa"/>
              <w:right w:w="200" w:type="dxa"/>
            </w:tcMar>
            <w:tcBorders>
              <w:top w:val="none"/>
              <w:left w:val="single" w:sz="24" w:space="0" w:color="22C55E"/>
              <w:bottom w:val="none"/>
              <w:right w:val="none"/>
            </w:tcBorders>
          </w:tcPr>
          <w:p>
            <w:pPr>
              <w:spacing w:before="0" w:after="0" w:line="276" w:lineRule="auto"/>
            </w:pPr>
            <w:r>
              <w:rPr>
                <w:rFonts w:ascii="Calibri" w:hAnsi="Calibri"/>
                <w:color w:val="0F172A"/>
                <w:sz w:val="20"/>
              </w:rPr>
              <w:t>✅ AVG / GDPR Conformiteitsverklaring</w:t>
              <w:br/>
              <w:t>Het Digidokters platform voldoet na de herhaalde audit van 27 oktober 2026 volledig aan alle vereisten van de Algemene Verordening Gegevensbescherming (AVG / GDPR). De kernprincipes van Privacy by Design en Privacy by Default zijn structureel verankerd in de multi-tenant architectuur. Zowel de historische verbeterpunten (GDPR-01 t/m GDPR-13) als alle recent toegevoegde functionaliteiten (GDPR-14 t/m GDPR-17: Systeemmonitor, telemetrie, foutenmonitoring, audit-sortering en menubehoud bij organisatiewissel) zijn geverifieerd, privacybestendig ontworpen en waterdicht afgedekt met 295 geautomatiseerde unittests.</w:t>
            </w:r>
          </w:p>
        </w:tc>
      </w:tr>
    </w:tbl>
    <w:p>
      <w:pPr>
        <w:spacing w:after="80"/>
      </w:pPr>
    </w:p>
    <w:p>
      <w:r>
        <w:rPr>
          <w:rFonts w:ascii="Calibri" w:hAnsi="Calibri"/>
          <w:b/>
          <w:color w:val="0F4C81"/>
          <w:sz w:val="32"/>
        </w:rPr>
        <w:t>1. Management Samenvatting (Executive Summary)</w:t>
      </w:r>
    </w:p>
    <w:p>
      <w:r>
        <w:rPr>
          <w:color w:val="0F172A"/>
          <w:sz w:val="20"/>
        </w:rPr>
        <w:t>Dit rapport bevat de officiële verslaglegging van de herhaalde GDPR / AVG (Algemene Verordening Gegevensbescherming) compliance audit van het Digidokters platform, uitgevoerd op 27 oktober 2026. Het primaire doel van deze audit is vast te stellen of de recente functionele uitbreidingen en technische verbeteringen (Release 2.8.0) voldoen aan de Europese privacywetgeving. Specifiek is getoetst op de invoering van het Systeemmonitor Dashboard (/platform/systeemmonitor), geaggregeerde telemetrie (page_view_stats), het centrale foutenlogboek (system_error_logs), sessietracking via users.laatste_activiteit, sorteerbare kolommen en alfabetische dropdownfilters in de Audit Logs, en het behoud van actieve menukeuzes bij het wisselen van organisatie.</w:t>
      </w:r>
    </w:p>
    <w:p>
      <w:r>
        <w:rPr>
          <w:color w:val="0F172A"/>
          <w:sz w:val="20"/>
        </w:rPr>
        <w:t>Alle verwerkingsactiviteiten zijn getoetst aan de zeven grondbeginselen van Art. 5 AVG, de toepasselijke rechtsgronden (Art. 6 AVG), de rechten van betrokkenen (Art. 12-23 AVG) en de technische en organisatorische beveiligingsmaatregelen (TOM's, Art. 32 AVG).</w:t>
      </w:r>
    </w:p>
    <w:p>
      <w:r>
        <w:rPr>
          <w:rFonts w:ascii="Calibri" w:hAnsi="Calibri"/>
          <w:b/>
          <w:color w:val="0284C7"/>
          <w:sz w:val="26"/>
        </w:rPr>
        <w:t>1.1 Samenvattende Conclusies per Deeldomein</w:t>
      </w:r>
    </w:p>
    <w:p>
      <w:pPr>
        <w:pStyle w:val="ListBullet"/>
        <w:spacing w:after="60"/>
      </w:pPr>
      <w:r>
        <w:rPr>
          <w:rFonts w:ascii="Calibri" w:hAnsi="Calibri"/>
          <w:b/>
          <w:color w:val="0F172A"/>
          <w:sz w:val="20"/>
        </w:rPr>
        <w:t xml:space="preserve">1. Dataminimalisatie in Telemetrie (Art. 5.1.c &amp; Art. 25): </w:t>
      </w:r>
      <w:r>
        <w:rPr>
          <w:rFonts w:ascii="Calibri" w:hAnsi="Calibri"/>
          <w:color w:val="334155"/>
          <w:sz w:val="20"/>
        </w:rPr>
        <w:t>De telemetriemodule (page_view_stats) registreert uitsluitend geaggregeerde dagsommen van paginabezoeken per endpoint en per tenant. Er worden géén IP-adressen, gebruikers-IDs, unieke URL-parameters of browserfingerprints opgeslagen. De paginastatistieken zijn inherent geanonimiseerd en voldoen aan Privacy by Design.</w:t>
      </w:r>
    </w:p>
    <w:p>
      <w:pPr>
        <w:pStyle w:val="ListBullet"/>
        <w:spacing w:after="60"/>
      </w:pPr>
      <w:r>
        <w:rPr>
          <w:rFonts w:ascii="Calibri" w:hAnsi="Calibri"/>
          <w:b/>
          <w:color w:val="0F172A"/>
          <w:sz w:val="20"/>
        </w:rPr>
        <w:t xml:space="preserve">2. Doelbinding &amp; Netwerkbeveiliging in Foutenlogs (Art. 5.1.b &amp; Art. 6.1.f): </w:t>
      </w:r>
      <w:r>
        <w:rPr>
          <w:rFonts w:ascii="Calibri" w:hAnsi="Calibri"/>
          <w:color w:val="334155"/>
          <w:sz w:val="20"/>
        </w:rPr>
        <w:t>Het nieuwe Systeemfoutenlogboek (system_error_logs) legt uitsluitend serverfouten (HTTP 500), rate-limits (429) en mislukte inlogpogingen (LoginFailed) vast. Conform Overweging 49 AVG vormt het waarborgen van netwerk- en informatiebeveiliging een gerechtvaardigd belang. Bij mislukte logins wordt nooit een wachtwoord gelogd (CWE-532). Toegang is strikt voorbehouden aan platformbeheerders.</w:t>
      </w:r>
    </w:p>
    <w:p>
      <w:pPr>
        <w:pStyle w:val="ListBullet"/>
        <w:spacing w:after="60"/>
      </w:pPr>
      <w:r>
        <w:rPr>
          <w:rFonts w:ascii="Calibri" w:hAnsi="Calibri"/>
          <w:b/>
          <w:color w:val="0F172A"/>
          <w:sz w:val="20"/>
        </w:rPr>
        <w:t xml:space="preserve">3. Sessiemonitoring &amp; Inzicht in Activiteit (Art. 5.1.c): </w:t>
      </w:r>
      <w:r>
        <w:rPr>
          <w:rFonts w:ascii="Calibri" w:hAnsi="Calibri"/>
          <w:color w:val="334155"/>
          <w:sz w:val="20"/>
        </w:rPr>
        <w:t>Het veld users.laatste_activiteit dient uitsluitend voor capaciteitsbeheer (inzicht in gelijktijdig actieve gebruikers in vensters van 15 en 30 minuten) en beveiliging van inactieve sessies. De registratie gebeurt discreet en zonder opslag van gedetailleerde klikpaden.</w:t>
      </w:r>
    </w:p>
    <w:p>
      <w:pPr>
        <w:pStyle w:val="ListBullet"/>
        <w:spacing w:after="60"/>
      </w:pPr>
      <w:r>
        <w:rPr>
          <w:rFonts w:ascii="Calibri" w:hAnsi="Calibri"/>
          <w:b/>
          <w:color w:val="0F172A"/>
          <w:sz w:val="20"/>
        </w:rPr>
        <w:t xml:space="preserve">4. Forensische Kwaliteit &amp; Verantwoordingsplicht (Art. 5.2): </w:t>
      </w:r>
      <w:r>
        <w:rPr>
          <w:rFonts w:ascii="Calibri" w:hAnsi="Calibri"/>
          <w:color w:val="334155"/>
          <w:sz w:val="20"/>
        </w:rPr>
        <w:t>De interactieve sorteerbaarheid van alle kolommen en alfabetisch gesorteerde dropdownlijsten voor Gebruiker en Tabel in de Audit Logs (/beheer/audit-log) verhogen de transparantie en forensische traceerbaarheid conform de verantwoordingsplicht.</w:t>
      </w:r>
    </w:p>
    <w:p>
      <w:pPr>
        <w:pStyle w:val="ListBullet"/>
        <w:spacing w:after="60"/>
      </w:pPr>
      <w:r>
        <w:rPr>
          <w:rFonts w:ascii="Calibri" w:hAnsi="Calibri"/>
          <w:b/>
          <w:color w:val="0F172A"/>
          <w:sz w:val="20"/>
        </w:rPr>
        <w:t xml:space="preserve">5. Multi-Tenant Isolatie bij Navigatie (Art. 5.1.f &amp; Art. 32): </w:t>
      </w:r>
      <w:r>
        <w:rPr>
          <w:rFonts w:ascii="Calibri" w:hAnsi="Calibri"/>
          <w:color w:val="334155"/>
          <w:sz w:val="20"/>
        </w:rPr>
        <w:t>Bij het wisselen van organisatie behoudt het platform de actieve menukeuze en pagina, maar valideert vooraf via _is_allowed_in_sjabloon en rol-permissiematrices of het doelendpoint toegestaan is. Onbevoegde cross-tenant gegevenstoegang (IDOR) is technisch uitgesloten.</w:t>
      </w:r>
    </w:p>
    <w:p>
      <w:pPr>
        <w:pStyle w:val="ListBullet"/>
        <w:spacing w:after="60"/>
      </w:pPr>
      <w:r>
        <w:rPr>
          <w:rFonts w:ascii="Calibri" w:hAnsi="Calibri"/>
          <w:b/>
          <w:color w:val="0F172A"/>
          <w:sz w:val="20"/>
        </w:rPr>
        <w:t xml:space="preserve">6. Rechten van Betrokkenen (Art. 12 - 23 AVG): </w:t>
      </w:r>
      <w:r>
        <w:rPr>
          <w:rFonts w:ascii="Calibri" w:hAnsi="Calibri"/>
          <w:color w:val="334155"/>
          <w:sz w:val="20"/>
        </w:rPr>
        <w:t>Alle rechten (inzage, rectificatie via zelfbediening, cascade verwijdering conform recht op vergetelheid, dataportabiliteit naar CSV/Excel) blijven onverminderd gewaarborgd over alle modules.</w:t>
      </w:r>
    </w:p>
    <w:p>
      <w:pPr>
        <w:pStyle w:val="ListBullet"/>
        <w:spacing w:after="60"/>
      </w:pPr>
      <w:r>
        <w:rPr>
          <w:rFonts w:ascii="Calibri" w:hAnsi="Calibri"/>
          <w:b/>
          <w:color w:val="0F172A"/>
          <w:sz w:val="20"/>
        </w:rPr>
        <w:t xml:space="preserve">7. Kwaliteitsborging &amp; Regressietesten: </w:t>
      </w:r>
      <w:r>
        <w:rPr>
          <w:rFonts w:ascii="Calibri" w:hAnsi="Calibri"/>
          <w:color w:val="334155"/>
          <w:sz w:val="20"/>
        </w:rPr>
        <w:t>De geautomatiseerde testsuite is uitgebreid naar 295 unittests over 38 suites (100% geslaagd). Alle multi-tenant scheidingen en autorisaties zijn proactief getest.</w:t>
      </w:r>
    </w:p>
    <w:p>
      <w:r>
        <w:rPr>
          <w:rFonts w:ascii="Calibri" w:hAnsi="Calibri"/>
          <w:b/>
          <w:color w:val="0F4C81"/>
          <w:sz w:val="32"/>
        </w:rPr>
        <w:t>2. Verwerkingscontext &amp; Categorieën Persoonsgegevens</w:t>
      </w:r>
    </w:p>
    <w:p>
      <w:r>
        <w:rPr>
          <w:rFonts w:ascii="Calibri" w:hAnsi="Calibri"/>
          <w:b/>
          <w:color w:val="0284C7"/>
          <w:sz w:val="26"/>
        </w:rPr>
        <w:t>2.1 Rollen onder de AVG</w:t>
      </w:r>
    </w:p>
    <w:p>
      <w:r>
        <w:rPr>
          <w:color w:val="0F172A"/>
          <w:sz w:val="20"/>
        </w:rPr>
        <w:t>In het kader van de AVG-wetgeving zijn de rollen binnen het Digidokters ecosysteem strikt afgebakend:</w:t>
        <w:br/>
        <w:t>• Verwerkingsverantwoordelijke (Controller): De aangesloten lokale besturen, steden en partnerorganisaties bepalen het doel en de middelen voor de registratie van consultaties, evaluaties en de inzet van vrijwilligers in hun gemeente.</w:t>
        <w:br/>
        <w:t>• Verwerker (Processor): Het Digidokters platform fungeert als verwerker die de software, database en hosting faciliteert onder een formele verwerkersovereenkomst conform Art. 28 AVG.</w:t>
      </w:r>
    </w:p>
    <w:p>
      <w:r>
        <w:rPr>
          <w:rFonts w:ascii="Calibri" w:hAnsi="Calibri"/>
          <w:b/>
          <w:color w:val="0284C7"/>
          <w:sz w:val="26"/>
        </w:rPr>
        <w:t>2.2 Overzicht van Verwerkte Persoonsgegevens en Telemetrie</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1984"/>
            <w:shd w:fill="0F4C81"/>
            <w:tcMar>
              <w:top w:w="120" w:type="dxa"/>
              <w:bottom w:w="120" w:type="dxa"/>
              <w:left w:w="140" w:type="dxa"/>
              <w:right w:w="140" w:type="dxa"/>
            </w:tcMar>
          </w:tcPr>
          <w:p>
            <w:pPr>
              <w:spacing w:before="0" w:after="0"/>
            </w:pPr>
            <w:r>
              <w:rPr>
                <w:rFonts w:ascii="Calibri" w:hAnsi="Calibri"/>
                <w:b/>
                <w:color w:val="FFFFFF"/>
                <w:sz w:val="20"/>
              </w:rPr>
              <w:t>Betrokkene / Domein</w:t>
            </w:r>
          </w:p>
        </w:tc>
        <w:tc>
          <w:tcPr>
            <w:tcW w:type="dxa" w:w="2721"/>
            <w:shd w:fill="0F4C81"/>
            <w:tcMar>
              <w:top w:w="120" w:type="dxa"/>
              <w:bottom w:w="120" w:type="dxa"/>
              <w:left w:w="140" w:type="dxa"/>
              <w:right w:w="140" w:type="dxa"/>
            </w:tcMar>
          </w:tcPr>
          <w:p>
            <w:pPr>
              <w:spacing w:before="0" w:after="0"/>
            </w:pPr>
            <w:r>
              <w:rPr>
                <w:rFonts w:ascii="Calibri" w:hAnsi="Calibri"/>
                <w:b/>
                <w:color w:val="FFFFFF"/>
                <w:sz w:val="20"/>
              </w:rPr>
              <w:t>Verwerkte Gegevens</w:t>
            </w:r>
          </w:p>
        </w:tc>
        <w:tc>
          <w:tcPr>
            <w:tcW w:type="dxa" w:w="2494"/>
            <w:shd w:fill="0F4C81"/>
            <w:tcMar>
              <w:top w:w="120" w:type="dxa"/>
              <w:bottom w:w="120" w:type="dxa"/>
              <w:left w:w="140" w:type="dxa"/>
              <w:right w:w="140" w:type="dxa"/>
            </w:tcMar>
          </w:tcPr>
          <w:p>
            <w:pPr>
              <w:spacing w:before="0" w:after="0"/>
            </w:pPr>
            <w:r>
              <w:rPr>
                <w:rFonts w:ascii="Calibri" w:hAnsi="Calibri"/>
                <w:b/>
                <w:color w:val="FFFFFF"/>
                <w:sz w:val="20"/>
              </w:rPr>
              <w:t>Verwerkingsdoel</w:t>
            </w:r>
          </w:p>
        </w:tc>
        <w:tc>
          <w:tcPr>
            <w:tcW w:type="dxa" w:w="2154"/>
            <w:shd w:fill="0F4C81"/>
            <w:tcMar>
              <w:top w:w="120" w:type="dxa"/>
              <w:bottom w:w="120" w:type="dxa"/>
              <w:left w:w="140" w:type="dxa"/>
              <w:right w:w="140" w:type="dxa"/>
            </w:tcMar>
          </w:tcPr>
          <w:p>
            <w:pPr>
              <w:spacing w:before="0" w:after="0"/>
            </w:pPr>
            <w:r>
              <w:rPr>
                <w:rFonts w:ascii="Calibri" w:hAnsi="Calibri"/>
                <w:b/>
                <w:color w:val="FFFFFF"/>
                <w:sz w:val="20"/>
              </w:rPr>
              <w:t>Rechtsgrond (Art. 6)</w:t>
            </w:r>
          </w:p>
        </w:tc>
      </w:tr>
      <w:tr>
        <w:tc>
          <w:tcPr>
            <w:tcW w:type="dxa" w:w="1984"/>
            <w:shd w:fill="FFFFFF"/>
            <w:tcMar>
              <w:top w:w="100" w:type="dxa"/>
              <w:bottom w:w="100" w:type="dxa"/>
              <w:left w:w="140" w:type="dxa"/>
              <w:right w:w="140" w:type="dxa"/>
            </w:tcMar>
          </w:tcPr>
          <w:p>
            <w:pPr>
              <w:spacing w:before="0" w:after="0" w:line="264" w:lineRule="auto"/>
            </w:pPr>
            <w:r>
              <w:rPr>
                <w:rFonts w:ascii="Calibri" w:hAnsi="Calibri"/>
                <w:color w:val="0F172A"/>
                <w:sz w:val="19"/>
              </w:rPr>
              <w:t>Bezoekers (Burgers)</w:t>
            </w:r>
          </w:p>
        </w:tc>
        <w:tc>
          <w:tcPr>
            <w:tcW w:type="dxa" w:w="2721"/>
            <w:shd w:fill="FFFFFF"/>
            <w:tcMar>
              <w:top w:w="100" w:type="dxa"/>
              <w:bottom w:w="100" w:type="dxa"/>
              <w:left w:w="140" w:type="dxa"/>
              <w:right w:w="140" w:type="dxa"/>
            </w:tcMar>
          </w:tcPr>
          <w:p>
            <w:pPr>
              <w:spacing w:before="0" w:after="0" w:line="264" w:lineRule="auto"/>
            </w:pPr>
            <w:r>
              <w:rPr>
                <w:rFonts w:ascii="Calibri" w:hAnsi="Calibri"/>
                <w:color w:val="0F172A"/>
                <w:sz w:val="19"/>
              </w:rPr>
              <w:t>Voornaam of initialen, leeftijdscategorie (geaggregeerd), toesteltype, vraagomschrijving (anoniem), resultaat van het bezoek, herkomst, geslacht/gender.</w:t>
            </w:r>
          </w:p>
        </w:tc>
        <w:tc>
          <w:tcPr>
            <w:tcW w:type="dxa" w:w="2494"/>
            <w:shd w:fill="FFFFFF"/>
            <w:tcMar>
              <w:top w:w="100" w:type="dxa"/>
              <w:bottom w:w="100" w:type="dxa"/>
              <w:left w:w="140" w:type="dxa"/>
              <w:right w:w="140" w:type="dxa"/>
            </w:tcMar>
          </w:tcPr>
          <w:p>
            <w:pPr>
              <w:spacing w:before="0" w:after="0" w:line="264" w:lineRule="auto"/>
            </w:pPr>
            <w:r>
              <w:rPr>
                <w:rFonts w:ascii="Calibri" w:hAnsi="Calibri"/>
                <w:color w:val="0F172A"/>
                <w:sz w:val="19"/>
              </w:rPr>
              <w:t>Registratie van hulpvragen, monitoring van de werking, beleidsrapportage.</w:t>
            </w:r>
          </w:p>
        </w:tc>
        <w:tc>
          <w:tcPr>
            <w:tcW w:type="dxa" w:w="2154"/>
            <w:shd w:fill="FFFFFF"/>
            <w:tcMar>
              <w:top w:w="100" w:type="dxa"/>
              <w:bottom w:w="100" w:type="dxa"/>
              <w:left w:w="140" w:type="dxa"/>
              <w:right w:w="140" w:type="dxa"/>
            </w:tcMar>
          </w:tcPr>
          <w:p>
            <w:pPr>
              <w:spacing w:before="0" w:after="0" w:line="264" w:lineRule="auto"/>
            </w:pPr>
            <w:r>
              <w:rPr>
                <w:rFonts w:ascii="Calibri" w:hAnsi="Calibri"/>
                <w:color w:val="0F172A"/>
                <w:sz w:val="19"/>
              </w:rPr>
              <w:t>Gerechtvaardigd belang / Taak van algemeen belang (Art. 6.1.e/f)</w:t>
            </w:r>
          </w:p>
        </w:tc>
      </w:tr>
      <w:tr>
        <w:tc>
          <w:tcPr>
            <w:tcW w:type="dxa" w:w="1984"/>
            <w:shd w:fill="F8FAFC"/>
            <w:tcMar>
              <w:top w:w="100" w:type="dxa"/>
              <w:bottom w:w="100" w:type="dxa"/>
              <w:left w:w="140" w:type="dxa"/>
              <w:right w:w="140" w:type="dxa"/>
            </w:tcMar>
          </w:tcPr>
          <w:p>
            <w:pPr>
              <w:spacing w:before="0" w:after="0" w:line="264" w:lineRule="auto"/>
            </w:pPr>
            <w:r>
              <w:rPr>
                <w:rFonts w:ascii="Calibri" w:hAnsi="Calibri"/>
                <w:color w:val="0F172A"/>
                <w:sz w:val="19"/>
              </w:rPr>
              <w:t>Digidokters (Vrijwilligers)</w:t>
            </w:r>
          </w:p>
        </w:tc>
        <w:tc>
          <w:tcPr>
            <w:tcW w:type="dxa" w:w="2721"/>
            <w:shd w:fill="F8FAFC"/>
            <w:tcMar>
              <w:top w:w="100" w:type="dxa"/>
              <w:bottom w:w="100" w:type="dxa"/>
              <w:left w:w="140" w:type="dxa"/>
              <w:right w:w="140" w:type="dxa"/>
            </w:tcMar>
          </w:tcPr>
          <w:p>
            <w:pPr>
              <w:spacing w:before="0" w:after="0" w:line="264" w:lineRule="auto"/>
            </w:pPr>
            <w:r>
              <w:rPr>
                <w:rFonts w:ascii="Calibri" w:hAnsi="Calibri"/>
                <w:color w:val="0F172A"/>
                <w:sz w:val="19"/>
              </w:rPr>
              <w:t>Naam, e-mailadres, telefoonnummer, toegekende functies (Digidokter, Digihelper, Lesgever), gekoppelde sessies, evaluatieresultaten.</w:t>
            </w:r>
          </w:p>
        </w:tc>
        <w:tc>
          <w:tcPr>
            <w:tcW w:type="dxa" w:w="2494"/>
            <w:shd w:fill="F8FAFC"/>
            <w:tcMar>
              <w:top w:w="100" w:type="dxa"/>
              <w:bottom w:w="100" w:type="dxa"/>
              <w:left w:w="140" w:type="dxa"/>
              <w:right w:w="140" w:type="dxa"/>
            </w:tcMar>
          </w:tcPr>
          <w:p>
            <w:pPr>
              <w:spacing w:before="0" w:after="0" w:line="264" w:lineRule="auto"/>
            </w:pPr>
            <w:r>
              <w:rPr>
                <w:rFonts w:ascii="Calibri" w:hAnsi="Calibri"/>
                <w:color w:val="0F172A"/>
                <w:sz w:val="19"/>
              </w:rPr>
              <w:t>Planning van sessies, interne communicatie, kwaliteitsmeting via evaluaties.</w:t>
            </w:r>
          </w:p>
        </w:tc>
        <w:tc>
          <w:tcPr>
            <w:tcW w:type="dxa" w:w="2154"/>
            <w:shd w:fill="F8FAFC"/>
            <w:tcMar>
              <w:top w:w="100" w:type="dxa"/>
              <w:bottom w:w="100" w:type="dxa"/>
              <w:left w:w="140" w:type="dxa"/>
              <w:right w:w="140" w:type="dxa"/>
            </w:tcMar>
          </w:tcPr>
          <w:p>
            <w:pPr>
              <w:spacing w:before="0" w:after="0" w:line="264" w:lineRule="auto"/>
            </w:pPr>
            <w:r>
              <w:rPr>
                <w:rFonts w:ascii="Calibri" w:hAnsi="Calibri"/>
                <w:color w:val="0F172A"/>
                <w:sz w:val="19"/>
              </w:rPr>
              <w:t>Uitvoering overeenkomst / Vrijwilligersstatuut (Art. 6.1.b)</w:t>
            </w:r>
          </w:p>
        </w:tc>
      </w:tr>
      <w:tr>
        <w:tc>
          <w:tcPr>
            <w:tcW w:type="dxa" w:w="1984"/>
            <w:shd w:fill="FFFFFF"/>
            <w:tcMar>
              <w:top w:w="100" w:type="dxa"/>
              <w:bottom w:w="100" w:type="dxa"/>
              <w:left w:w="140" w:type="dxa"/>
              <w:right w:w="140" w:type="dxa"/>
            </w:tcMar>
          </w:tcPr>
          <w:p>
            <w:pPr>
              <w:spacing w:before="0" w:after="0" w:line="264" w:lineRule="auto"/>
            </w:pPr>
            <w:r>
              <w:rPr>
                <w:rFonts w:ascii="Calibri" w:hAnsi="Calibri"/>
                <w:color w:val="0F172A"/>
                <w:sz w:val="19"/>
              </w:rPr>
              <w:t>Medewerkers &amp; Beheerders</w:t>
            </w:r>
          </w:p>
        </w:tc>
        <w:tc>
          <w:tcPr>
            <w:tcW w:type="dxa" w:w="2721"/>
            <w:shd w:fill="FFFFFF"/>
            <w:tcMar>
              <w:top w:w="100" w:type="dxa"/>
              <w:bottom w:w="100" w:type="dxa"/>
              <w:left w:w="140" w:type="dxa"/>
              <w:right w:w="140" w:type="dxa"/>
            </w:tcMar>
          </w:tcPr>
          <w:p>
            <w:pPr>
              <w:spacing w:before="0" w:after="0" w:line="264" w:lineRule="auto"/>
            </w:pPr>
            <w:r>
              <w:rPr>
                <w:rFonts w:ascii="Calibri" w:hAnsi="Calibri"/>
                <w:color w:val="0F172A"/>
                <w:sz w:val="19"/>
              </w:rPr>
              <w:t>Naam, zakelijk e-mailadres, telefoonnummer, Scrypt-wachtwoordhash, autorisatiegroepen &amp; permissies, laatste login, laatste activiteit (users.laatste_activiteit).</w:t>
            </w:r>
          </w:p>
        </w:tc>
        <w:tc>
          <w:tcPr>
            <w:tcW w:type="dxa" w:w="2494"/>
            <w:shd w:fill="FFFFFF"/>
            <w:tcMar>
              <w:top w:w="100" w:type="dxa"/>
              <w:bottom w:w="100" w:type="dxa"/>
              <w:left w:w="140" w:type="dxa"/>
              <w:right w:w="140" w:type="dxa"/>
            </w:tcMar>
          </w:tcPr>
          <w:p>
            <w:pPr>
              <w:spacing w:before="0" w:after="0" w:line="264" w:lineRule="auto"/>
            </w:pPr>
            <w:r>
              <w:rPr>
                <w:rFonts w:ascii="Calibri" w:hAnsi="Calibri"/>
                <w:color w:val="0F172A"/>
                <w:sz w:val="19"/>
              </w:rPr>
              <w:t>Toegangsbeheer, authenticatie, autorisatie, sessiebeveiliging en monitoring van gelijktijdig gebruik.</w:t>
            </w:r>
          </w:p>
        </w:tc>
        <w:tc>
          <w:tcPr>
            <w:tcW w:type="dxa" w:w="2154"/>
            <w:shd w:fill="FFFFFF"/>
            <w:tcMar>
              <w:top w:w="100" w:type="dxa"/>
              <w:bottom w:w="100" w:type="dxa"/>
              <w:left w:w="140" w:type="dxa"/>
              <w:right w:w="140" w:type="dxa"/>
            </w:tcMar>
          </w:tcPr>
          <w:p>
            <w:pPr>
              <w:spacing w:before="0" w:after="0" w:line="264" w:lineRule="auto"/>
            </w:pPr>
            <w:r>
              <w:rPr>
                <w:rFonts w:ascii="Calibri" w:hAnsi="Calibri"/>
                <w:color w:val="0F172A"/>
                <w:sz w:val="19"/>
              </w:rPr>
              <w:t>Uitvoering overeenkomst / Gerechtvaardigd belang (Art. 6.1.b/f)</w:t>
            </w:r>
          </w:p>
        </w:tc>
      </w:tr>
      <w:tr>
        <w:tc>
          <w:tcPr>
            <w:tcW w:type="dxa" w:w="1984"/>
            <w:shd w:fill="F8FAFC"/>
            <w:tcMar>
              <w:top w:w="100" w:type="dxa"/>
              <w:bottom w:w="100" w:type="dxa"/>
              <w:left w:w="140" w:type="dxa"/>
              <w:right w:w="140" w:type="dxa"/>
            </w:tcMar>
          </w:tcPr>
          <w:p>
            <w:pPr>
              <w:spacing w:before="0" w:after="0" w:line="264" w:lineRule="auto"/>
            </w:pPr>
            <w:r>
              <w:rPr>
                <w:rFonts w:ascii="Calibri" w:hAnsi="Calibri"/>
                <w:color w:val="0F172A"/>
                <w:sz w:val="19"/>
              </w:rPr>
              <w:t>Telemetrie &amp; Gebruik (page_view_stats)</w:t>
            </w:r>
          </w:p>
        </w:tc>
        <w:tc>
          <w:tcPr>
            <w:tcW w:type="dxa" w:w="2721"/>
            <w:shd w:fill="F8FAFC"/>
            <w:tcMar>
              <w:top w:w="100" w:type="dxa"/>
              <w:bottom w:w="100" w:type="dxa"/>
              <w:left w:w="140" w:type="dxa"/>
              <w:right w:w="140" w:type="dxa"/>
            </w:tcMar>
          </w:tcPr>
          <w:p>
            <w:pPr>
              <w:spacing w:before="0" w:after="0" w:line="264" w:lineRule="auto"/>
            </w:pPr>
            <w:r>
              <w:rPr>
                <w:rFonts w:ascii="Calibri" w:hAnsi="Calibri"/>
                <w:color w:val="0F172A"/>
                <w:sz w:val="19"/>
              </w:rPr>
              <w:t>Datum, endpoint-naam, routepad, functielabel, optioneel organisatie_id, dagsom van hits. GEEN persoonsgegevens, GEEN IP-adressen.</w:t>
            </w:r>
          </w:p>
        </w:tc>
        <w:tc>
          <w:tcPr>
            <w:tcW w:type="dxa" w:w="2494"/>
            <w:shd w:fill="F8FAFC"/>
            <w:tcMar>
              <w:top w:w="100" w:type="dxa"/>
              <w:bottom w:w="100" w:type="dxa"/>
              <w:left w:w="140" w:type="dxa"/>
              <w:right w:w="140" w:type="dxa"/>
            </w:tcMar>
          </w:tcPr>
          <w:p>
            <w:pPr>
              <w:spacing w:before="0" w:after="0" w:line="264" w:lineRule="auto"/>
            </w:pPr>
            <w:r>
              <w:rPr>
                <w:rFonts w:ascii="Calibri" w:hAnsi="Calibri"/>
                <w:color w:val="0F172A"/>
                <w:sz w:val="19"/>
              </w:rPr>
              <w:t>Platformoptimalisatie, prestatiemonitoring en inzicht in veelgebruikte modules.</w:t>
            </w:r>
          </w:p>
        </w:tc>
        <w:tc>
          <w:tcPr>
            <w:tcW w:type="dxa" w:w="2154"/>
            <w:shd w:fill="F8FAFC"/>
            <w:tcMar>
              <w:top w:w="100" w:type="dxa"/>
              <w:bottom w:w="100" w:type="dxa"/>
              <w:left w:w="140" w:type="dxa"/>
              <w:right w:w="140" w:type="dxa"/>
            </w:tcMar>
          </w:tcPr>
          <w:p>
            <w:pPr>
              <w:spacing w:before="0" w:after="0" w:line="264" w:lineRule="auto"/>
            </w:pPr>
            <w:r>
              <w:rPr>
                <w:rFonts w:ascii="Calibri" w:hAnsi="Calibri"/>
                <w:color w:val="0F172A"/>
                <w:sz w:val="19"/>
              </w:rPr>
              <w:t>Gerechtvaardigd belang / Statistische doeleinden (Art. 6.1.f &amp; Art. 89)</w:t>
            </w:r>
          </w:p>
        </w:tc>
      </w:tr>
      <w:tr>
        <w:tc>
          <w:tcPr>
            <w:tcW w:type="dxa" w:w="1984"/>
            <w:shd w:fill="FFFFFF"/>
            <w:tcMar>
              <w:top w:w="100" w:type="dxa"/>
              <w:bottom w:w="100" w:type="dxa"/>
              <w:left w:w="140" w:type="dxa"/>
              <w:right w:w="140" w:type="dxa"/>
            </w:tcMar>
          </w:tcPr>
          <w:p>
            <w:pPr>
              <w:spacing w:before="0" w:after="0" w:line="264" w:lineRule="auto"/>
            </w:pPr>
            <w:r>
              <w:rPr>
                <w:rFonts w:ascii="Calibri" w:hAnsi="Calibri"/>
                <w:color w:val="0F172A"/>
                <w:sz w:val="19"/>
              </w:rPr>
              <w:t>Systeemfouten &amp; Beveiliging (system_error_logs)</w:t>
            </w:r>
          </w:p>
        </w:tc>
        <w:tc>
          <w:tcPr>
            <w:tcW w:type="dxa" w:w="2721"/>
            <w:shd w:fill="FFFFFF"/>
            <w:tcMar>
              <w:top w:w="100" w:type="dxa"/>
              <w:bottom w:w="100" w:type="dxa"/>
              <w:left w:w="140" w:type="dxa"/>
              <w:right w:w="140" w:type="dxa"/>
            </w:tcMar>
          </w:tcPr>
          <w:p>
            <w:pPr>
              <w:spacing w:before="0" w:after="0" w:line="264" w:lineRule="auto"/>
            </w:pPr>
            <w:r>
              <w:rPr>
                <w:rFonts w:ascii="Calibri" w:hAnsi="Calibri"/>
                <w:color w:val="0F172A"/>
                <w:sz w:val="19"/>
              </w:rPr>
              <w:t>Tijdstip, statuscode (500, 429, 401), fouttype, foutbericht, stacktrace (sanitized), endpoint/pad, IP-adres, e-mail/gebruiker (indien ingelogd), organisatie_id, oplosstatus.</w:t>
            </w:r>
          </w:p>
        </w:tc>
        <w:tc>
          <w:tcPr>
            <w:tcW w:type="dxa" w:w="2494"/>
            <w:shd w:fill="FFFFFF"/>
            <w:tcMar>
              <w:top w:w="100" w:type="dxa"/>
              <w:bottom w:w="100" w:type="dxa"/>
              <w:left w:w="140" w:type="dxa"/>
              <w:right w:w="140" w:type="dxa"/>
            </w:tcMar>
          </w:tcPr>
          <w:p>
            <w:pPr>
              <w:spacing w:before="0" w:after="0" w:line="264" w:lineRule="auto"/>
            </w:pPr>
            <w:r>
              <w:rPr>
                <w:rFonts w:ascii="Calibri" w:hAnsi="Calibri"/>
                <w:color w:val="0F172A"/>
                <w:sz w:val="19"/>
              </w:rPr>
              <w:t>Incidentdetectie, opsporen van serverfouten, blokkeren van brute-force aanvallen, beveiligingsmonitoring.</w:t>
            </w:r>
          </w:p>
        </w:tc>
        <w:tc>
          <w:tcPr>
            <w:tcW w:type="dxa" w:w="2154"/>
            <w:shd w:fill="FFFFFF"/>
            <w:tcMar>
              <w:top w:w="100" w:type="dxa"/>
              <w:bottom w:w="100" w:type="dxa"/>
              <w:left w:w="140" w:type="dxa"/>
              <w:right w:w="140" w:type="dxa"/>
            </w:tcMar>
          </w:tcPr>
          <w:p>
            <w:pPr>
              <w:spacing w:before="0" w:after="0" w:line="264" w:lineRule="auto"/>
            </w:pPr>
            <w:r>
              <w:rPr>
                <w:rFonts w:ascii="Calibri" w:hAnsi="Calibri"/>
                <w:color w:val="0F172A"/>
                <w:sz w:val="19"/>
              </w:rPr>
              <w:t>Gerechtvaardigd belang / Netwerkbeveiliging (Art. 6.1.f &amp; Overweging 49 AVG)</w:t>
            </w:r>
          </w:p>
        </w:tc>
      </w:tr>
      <w:tr>
        <w:tc>
          <w:tcPr>
            <w:tcW w:type="dxa" w:w="1984"/>
            <w:shd w:fill="F8FAFC"/>
            <w:tcMar>
              <w:top w:w="100" w:type="dxa"/>
              <w:bottom w:w="100" w:type="dxa"/>
              <w:left w:w="140" w:type="dxa"/>
              <w:right w:w="140" w:type="dxa"/>
            </w:tcMar>
          </w:tcPr>
          <w:p>
            <w:pPr>
              <w:spacing w:before="0" w:after="0" w:line="264" w:lineRule="auto"/>
            </w:pPr>
            <w:r>
              <w:rPr>
                <w:rFonts w:ascii="Calibri" w:hAnsi="Calibri"/>
                <w:color w:val="0F172A"/>
                <w:sz w:val="19"/>
              </w:rPr>
              <w:t>Audit Trail (audit_logs)</w:t>
            </w:r>
          </w:p>
        </w:tc>
        <w:tc>
          <w:tcPr>
            <w:tcW w:type="dxa" w:w="2721"/>
            <w:shd w:fill="F8FAFC"/>
            <w:tcMar>
              <w:top w:w="100" w:type="dxa"/>
              <w:bottom w:w="100" w:type="dxa"/>
              <w:left w:w="140" w:type="dxa"/>
              <w:right w:w="140" w:type="dxa"/>
            </w:tcMar>
          </w:tcPr>
          <w:p>
            <w:pPr>
              <w:spacing w:before="0" w:after="0" w:line="264" w:lineRule="auto"/>
            </w:pPr>
            <w:r>
              <w:rPr>
                <w:rFonts w:ascii="Calibri" w:hAnsi="Calibri"/>
                <w:color w:val="0F172A"/>
                <w:sz w:val="19"/>
              </w:rPr>
              <w:t>Tijdstip, gebruikersnaam, operatie (C/U/D), tabel, record_id, organisatie_id, oude en nieuwe waarden (JSON).</w:t>
            </w:r>
          </w:p>
        </w:tc>
        <w:tc>
          <w:tcPr>
            <w:tcW w:type="dxa" w:w="2494"/>
            <w:shd w:fill="F8FAFC"/>
            <w:tcMar>
              <w:top w:w="100" w:type="dxa"/>
              <w:bottom w:w="100" w:type="dxa"/>
              <w:left w:w="140" w:type="dxa"/>
              <w:right w:w="140" w:type="dxa"/>
            </w:tcMar>
          </w:tcPr>
          <w:p>
            <w:pPr>
              <w:spacing w:before="0" w:after="0" w:line="264" w:lineRule="auto"/>
            </w:pPr>
            <w:r>
              <w:rPr>
                <w:rFonts w:ascii="Calibri" w:hAnsi="Calibri"/>
                <w:color w:val="0F172A"/>
                <w:sz w:val="19"/>
              </w:rPr>
              <w:t>Verantwoording, transparantie, forensische traceerbaarheid en compliance met Art. 5.2 AVG.</w:t>
            </w:r>
          </w:p>
        </w:tc>
        <w:tc>
          <w:tcPr>
            <w:tcW w:type="dxa" w:w="2154"/>
            <w:shd w:fill="F8FAFC"/>
            <w:tcMar>
              <w:top w:w="100" w:type="dxa"/>
              <w:bottom w:w="100" w:type="dxa"/>
              <w:left w:w="140" w:type="dxa"/>
              <w:right w:w="140" w:type="dxa"/>
            </w:tcMar>
          </w:tcPr>
          <w:p>
            <w:pPr>
              <w:spacing w:before="0" w:after="0" w:line="264" w:lineRule="auto"/>
            </w:pPr>
            <w:r>
              <w:rPr>
                <w:rFonts w:ascii="Calibri" w:hAnsi="Calibri"/>
                <w:color w:val="0F172A"/>
                <w:sz w:val="19"/>
              </w:rPr>
              <w:t>Wettelijke verplichting / Gerechtvaardigd belang (Art. 6.1.c/f)</w:t>
            </w:r>
          </w:p>
        </w:tc>
      </w:tr>
    </w:tbl>
    <w:p>
      <w:pPr>
        <w:spacing w:after="80"/>
      </w:pPr>
    </w:p>
    <w:p>
      <w:r>
        <w:rPr>
          <w:rFonts w:ascii="Calibri" w:hAnsi="Calibri"/>
          <w:b/>
          <w:color w:val="0F4C81"/>
          <w:sz w:val="32"/>
        </w:rPr>
        <w:t>3. Toetsing aan de AVG Basisbeginselen (Art. 5 AVG)</w:t>
      </w:r>
    </w:p>
    <w:p>
      <w:r>
        <w:rPr>
          <w:rFonts w:ascii="Calibri" w:hAnsi="Calibri"/>
          <w:b/>
          <w:color w:val="0284C7"/>
          <w:sz w:val="24"/>
        </w:rPr>
        <w:t>3.1 Rechtmatigheid, Behoorlijkheid &amp; Transparantie (Art. 5.1.a)</w:t>
      </w:r>
    </w:p>
    <w:p>
      <w:pPr>
        <w:spacing w:after="80"/>
      </w:pPr>
      <w:r>
        <w:rPr>
          <w:rFonts w:ascii="Calibri" w:hAnsi="Calibri"/>
          <w:color w:val="0F172A"/>
          <w:sz w:val="20"/>
        </w:rPr>
        <w:t>Alle verwerkingen steunen op een aantoonbare rechtsgrond. Transparantie wordt gewaarborgd via de centrale privacyverklaring in de navigatiebalk, duidelijke informatiebanners op evaluatieformulieren en transparante auditlogging van alle beheeracties.</w:t>
      </w:r>
    </w:p>
    <w:p>
      <w:r>
        <w:rPr>
          <w:rFonts w:ascii="Calibri" w:hAnsi="Calibri"/>
          <w:b/>
          <w:color w:val="0284C7"/>
          <w:sz w:val="24"/>
        </w:rPr>
        <w:t>3.2 Doelbinding (Art. 5.1.b)</w:t>
      </w:r>
    </w:p>
    <w:p>
      <w:pPr>
        <w:spacing w:after="80"/>
      </w:pPr>
      <w:r>
        <w:rPr>
          <w:rFonts w:ascii="Calibri" w:hAnsi="Calibri"/>
          <w:color w:val="0F172A"/>
          <w:sz w:val="20"/>
        </w:rPr>
        <w:t>Gegevens worden uitsluitend verzameld voor vastgestelde, uitdrukkelijk omschreven doeleinden. Het Systeemfoutenlogboek dient uitsluitend voor technische foutopsporing en beveiliging, en wordt onder geen beding ingezet voor personeelsbeoordeling of commerciële analyse. Multi-tenancy garandeert strikte isolatie per gemeente.</w:t>
      </w:r>
    </w:p>
    <w:p>
      <w:r>
        <w:rPr>
          <w:rFonts w:ascii="Calibri" w:hAnsi="Calibri"/>
          <w:b/>
          <w:color w:val="0284C7"/>
          <w:sz w:val="24"/>
        </w:rPr>
        <w:t>3.3 Dataminimalisatie (Art. 5.1.c)</w:t>
      </w:r>
    </w:p>
    <w:p>
      <w:pPr>
        <w:spacing w:after="80"/>
      </w:pPr>
      <w:r>
        <w:rPr>
          <w:rFonts w:ascii="Calibri" w:hAnsi="Calibri"/>
          <w:color w:val="0F172A"/>
          <w:sz w:val="20"/>
        </w:rPr>
        <w:t>In consultaties worden geen rijksregisternummers, geboortedata of contactgegevens van bezoekers genoteerd. De nieuwe telemetriemodule (page_view_stats) aggregeert data op dagniveau zonder persoonsidentifiers. In system_error_logs worden stacktraces ingekort en wachtwoorden strikt geweerd.</w:t>
      </w:r>
    </w:p>
    <w:p>
      <w:r>
        <w:rPr>
          <w:rFonts w:ascii="Calibri" w:hAnsi="Calibri"/>
          <w:b/>
          <w:color w:val="0284C7"/>
          <w:sz w:val="24"/>
        </w:rPr>
        <w:t>3.4 Juistheid &amp; Kwaliteit (Art. 5.1.d)</w:t>
      </w:r>
    </w:p>
    <w:p>
      <w:pPr>
        <w:spacing w:after="80"/>
      </w:pPr>
      <w:r>
        <w:rPr>
          <w:rFonts w:ascii="Calibri" w:hAnsi="Calibri"/>
          <w:color w:val="0F172A"/>
          <w:sz w:val="20"/>
        </w:rPr>
        <w:t>Zelfbediening (/wachtwoord) stelt vrijwilligers en medewerkers in staat hun contactgegevens direct te corrigeren. Evaluatiereacties kunnen door de auteur worden gecorrigeerd. Stamgegevens en alias-mappings garanderen uniforme categorieën.</w:t>
      </w:r>
    </w:p>
    <w:p>
      <w:r>
        <w:rPr>
          <w:rFonts w:ascii="Calibri" w:hAnsi="Calibri"/>
          <w:b/>
          <w:color w:val="0284C7"/>
          <w:sz w:val="24"/>
        </w:rPr>
        <w:t>3.5 Opslagbeperking &amp; Retentiebeheer (Art. 5.1.e)</w:t>
      </w:r>
    </w:p>
    <w:p>
      <w:pPr>
        <w:spacing w:after="80"/>
      </w:pPr>
      <w:r>
        <w:rPr>
          <w:rFonts w:ascii="Calibri" w:hAnsi="Calibri"/>
          <w:color w:val="0F172A"/>
          <w:sz w:val="20"/>
        </w:rPr>
        <w:t>Database-backups volgen een geautomatiseerd GFS-retentieschema (7 dagen dagelijks, 4 weken wekelijks, 2 maanden maandelijks). Wachtwoordresetcodes vervallen na 30 minuten. Auditlogs kunnen via de beheerinterface gecontroleerd worden opgeschoond. Aanbevolen wordt om ook voor system_error_logs een automatische retentie in te stellen.</w:t>
      </w:r>
    </w:p>
    <w:p>
      <w:r>
        <w:rPr>
          <w:rFonts w:ascii="Calibri" w:hAnsi="Calibri"/>
          <w:b/>
          <w:color w:val="0284C7"/>
          <w:sz w:val="24"/>
        </w:rPr>
        <w:t>3.6 Integriteit en Vertrouwelijkheid (Art. 5.1.f)</w:t>
      </w:r>
    </w:p>
    <w:p>
      <w:pPr>
        <w:spacing w:after="80"/>
      </w:pPr>
      <w:r>
        <w:rPr>
          <w:rFonts w:ascii="Calibri" w:hAnsi="Calibri"/>
          <w:color w:val="0F172A"/>
          <w:sz w:val="20"/>
        </w:rPr>
        <w:t>Encryptie in transit (TLS 1.3 / HTTPS), Scrypt wachtwoordhashing met salts, veilige cookie flags, Subresource Integrity (SRI) op alle externe scripts, en een fijnmazige dynamische permissiematrix handhaven het principe van minimale privileges (Least Privilege).</w:t>
      </w:r>
    </w:p>
    <w:p>
      <w:r>
        <w:rPr>
          <w:rFonts w:ascii="Calibri" w:hAnsi="Calibri"/>
          <w:b/>
          <w:color w:val="0284C7"/>
          <w:sz w:val="24"/>
        </w:rPr>
        <w:t>3.7 Verantwoordingsplicht / Accountability (Art. 5.2)</w:t>
      </w:r>
    </w:p>
    <w:p>
      <w:pPr>
        <w:spacing w:after="80"/>
      </w:pPr>
      <w:r>
        <w:rPr>
          <w:rFonts w:ascii="Calibri" w:hAnsi="Calibri"/>
          <w:color w:val="0F172A"/>
          <w:sz w:val="20"/>
        </w:rPr>
        <w:t>Het platform kan te allen tijde aantonen dat de verwerkingen voldoen aan de AVG. De nieuwe sorteerbaarheid van kolommen en alfabetische dropdownfilters in de Audit Logs garanderen dat beheerders en auditors mutaties accuraat en reproduceerbaar kunnen nagaan.</w:t>
      </w:r>
    </w:p>
    <w:p>
      <w:r>
        <w:rPr>
          <w:rFonts w:ascii="Calibri" w:hAnsi="Calibri"/>
          <w:b/>
          <w:color w:val="0F4C81"/>
          <w:sz w:val="32"/>
        </w:rPr>
        <w:t>4. Rechten van Betrokkenen (Art. 12 - 23 AVG)</w:t>
      </w:r>
    </w:p>
    <w:tbl>
      <w:tblPr>
        <w:tblStyle w:val="TableGrid"/>
        <w:tblW w:type="auto" w:w="0"/>
        <w:tblLayout w:type="fixed"/>
        <w:tblLook w:firstColumn="1" w:firstRow="1" w:lastColumn="0" w:lastRow="0" w:noHBand="0" w:noVBand="1" w:val="04A0"/>
      </w:tblPr>
      <w:tblGrid>
        <w:gridCol w:w="3324"/>
        <w:gridCol w:w="3324"/>
        <w:gridCol w:w="3324"/>
      </w:tblGrid>
      <w:tr>
        <w:tc>
          <w:tcPr>
            <w:tcW w:type="dxa" w:w="2551"/>
            <w:shd w:fill="0F4C81"/>
            <w:tcMar>
              <w:top w:w="120" w:type="dxa"/>
              <w:bottom w:w="120" w:type="dxa"/>
              <w:left w:w="140" w:type="dxa"/>
              <w:right w:w="140" w:type="dxa"/>
            </w:tcMar>
          </w:tcPr>
          <w:p>
            <w:pPr>
              <w:spacing w:before="0" w:after="0"/>
            </w:pPr>
            <w:r>
              <w:rPr>
                <w:rFonts w:ascii="Calibri" w:hAnsi="Calibri"/>
                <w:b/>
                <w:color w:val="FFFFFF"/>
                <w:sz w:val="20"/>
              </w:rPr>
              <w:t>AVG Recht</w:t>
            </w:r>
          </w:p>
        </w:tc>
        <w:tc>
          <w:tcPr>
            <w:tcW w:type="dxa" w:w="5102"/>
            <w:shd w:fill="0F4C81"/>
            <w:tcMar>
              <w:top w:w="120" w:type="dxa"/>
              <w:bottom w:w="120" w:type="dxa"/>
              <w:left w:w="140" w:type="dxa"/>
              <w:right w:w="140" w:type="dxa"/>
            </w:tcMar>
          </w:tcPr>
          <w:p>
            <w:pPr>
              <w:spacing w:before="0" w:after="0"/>
            </w:pPr>
            <w:r>
              <w:rPr>
                <w:rFonts w:ascii="Calibri" w:hAnsi="Calibri"/>
                <w:b/>
                <w:color w:val="FFFFFF"/>
                <w:sz w:val="20"/>
              </w:rPr>
              <w:t>Geïmplementeerde Functionaliteit in Digidokters</w:t>
            </w:r>
          </w:p>
        </w:tc>
        <w:tc>
          <w:tcPr>
            <w:tcW w:type="dxa" w:w="1701"/>
            <w:shd w:fill="0F4C81"/>
            <w:tcMar>
              <w:top w:w="120" w:type="dxa"/>
              <w:bottom w:w="120" w:type="dxa"/>
              <w:left w:w="140" w:type="dxa"/>
              <w:right w:w="140" w:type="dxa"/>
            </w:tcMar>
          </w:tcPr>
          <w:p>
            <w:pPr>
              <w:spacing w:before="0" w:after="0"/>
            </w:pPr>
            <w:r>
              <w:rPr>
                <w:rFonts w:ascii="Calibri" w:hAnsi="Calibri"/>
                <w:b/>
                <w:color w:val="FFFFFF"/>
                <w:sz w:val="20"/>
              </w:rPr>
              <w:t>Status</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Recht op Inzage (Art. 15)</w:t>
            </w:r>
          </w:p>
        </w:tc>
        <w:tc>
          <w:tcPr>
            <w:tcW w:type="dxa" w:w="5102"/>
            <w:shd w:fill="FFFFFF"/>
            <w:tcMar>
              <w:top w:w="100" w:type="dxa"/>
              <w:bottom w:w="100" w:type="dxa"/>
              <w:left w:w="140" w:type="dxa"/>
              <w:right w:w="140" w:type="dxa"/>
            </w:tcMar>
          </w:tcPr>
          <w:p>
            <w:pPr>
              <w:spacing w:before="0" w:after="0" w:line="264" w:lineRule="auto"/>
            </w:pPr>
            <w:r>
              <w:rPr>
                <w:rFonts w:ascii="Calibri" w:hAnsi="Calibri"/>
                <w:color w:val="0F172A"/>
                <w:sz w:val="19"/>
              </w:rPr>
              <w:t>Beheerders kunnen alle registraties, profielen, communicatielogs, foutenlogs en evaluaties direct inzien en filteren in de UI.</w:t>
            </w:r>
          </w:p>
        </w:tc>
        <w:tc>
          <w:tcPr>
            <w:tcW w:type="dxa" w:w="1701"/>
            <w:shd w:fill="FFFFFF"/>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r>
        <w:tc>
          <w:tcPr>
            <w:tcW w:type="dxa" w:w="2551"/>
            <w:shd w:fill="F8FAFC"/>
            <w:tcMar>
              <w:top w:w="100" w:type="dxa"/>
              <w:bottom w:w="100" w:type="dxa"/>
              <w:left w:w="140" w:type="dxa"/>
              <w:right w:w="140" w:type="dxa"/>
            </w:tcMar>
          </w:tcPr>
          <w:p>
            <w:pPr>
              <w:spacing w:before="0" w:after="0" w:line="264" w:lineRule="auto"/>
            </w:pPr>
            <w:r>
              <w:rPr>
                <w:rFonts w:ascii="Calibri" w:hAnsi="Calibri"/>
                <w:color w:val="0F172A"/>
                <w:sz w:val="19"/>
              </w:rPr>
              <w:t>Recht op Rectificatie (Art. 16)</w:t>
            </w:r>
          </w:p>
        </w:tc>
        <w:tc>
          <w:tcPr>
            <w:tcW w:type="dxa" w:w="5102"/>
            <w:shd w:fill="F8FAFC"/>
            <w:tcMar>
              <w:top w:w="100" w:type="dxa"/>
              <w:bottom w:w="100" w:type="dxa"/>
              <w:left w:w="140" w:type="dxa"/>
              <w:right w:w="140" w:type="dxa"/>
            </w:tcMar>
          </w:tcPr>
          <w:p>
            <w:pPr>
              <w:spacing w:before="0" w:after="0" w:line="264" w:lineRule="auto"/>
            </w:pPr>
            <w:r>
              <w:rPr>
                <w:rFonts w:ascii="Calibri" w:hAnsi="Calibri"/>
                <w:color w:val="0F172A"/>
                <w:sz w:val="19"/>
              </w:rPr>
              <w:t>Zelfbediening via /wachtwoord voor contactgegevens en functies; bewerkmogelijkheid voor evaluatiereacties (/evaluaties/reactie/&lt;id&gt;/bewerken).</w:t>
            </w:r>
          </w:p>
        </w:tc>
        <w:tc>
          <w:tcPr>
            <w:tcW w:type="dxa" w:w="1701"/>
            <w:shd w:fill="F8FAFC"/>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Recht op Gegevenswissing / Vergetelheid (Art. 17)</w:t>
            </w:r>
          </w:p>
        </w:tc>
        <w:tc>
          <w:tcPr>
            <w:tcW w:type="dxa" w:w="5102"/>
            <w:shd w:fill="FFFFFF"/>
            <w:tcMar>
              <w:top w:w="100" w:type="dxa"/>
              <w:bottom w:w="100" w:type="dxa"/>
              <w:left w:w="140" w:type="dxa"/>
              <w:right w:w="140" w:type="dxa"/>
            </w:tcMar>
          </w:tcPr>
          <w:p>
            <w:pPr>
              <w:spacing w:before="0" w:after="0" w:line="264" w:lineRule="auto"/>
            </w:pPr>
            <w:r>
              <w:rPr>
                <w:rFonts w:ascii="Calibri" w:hAnsi="Calibri"/>
                <w:color w:val="0F172A"/>
                <w:sz w:val="19"/>
              </w:rPr>
              <w:t>Volledige cascade deletion bij het wissen van registraties, documenten, accounts en tenants. Geen weesrecords of zwevende foreign keys.</w:t>
            </w:r>
          </w:p>
        </w:tc>
        <w:tc>
          <w:tcPr>
            <w:tcW w:type="dxa" w:w="1701"/>
            <w:shd w:fill="FFFFFF"/>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r>
        <w:tc>
          <w:tcPr>
            <w:tcW w:type="dxa" w:w="2551"/>
            <w:shd w:fill="F8FAFC"/>
            <w:tcMar>
              <w:top w:w="100" w:type="dxa"/>
              <w:bottom w:w="100" w:type="dxa"/>
              <w:left w:w="140" w:type="dxa"/>
              <w:right w:w="140" w:type="dxa"/>
            </w:tcMar>
          </w:tcPr>
          <w:p>
            <w:pPr>
              <w:spacing w:before="0" w:after="0" w:line="264" w:lineRule="auto"/>
            </w:pPr>
            <w:r>
              <w:rPr>
                <w:rFonts w:ascii="Calibri" w:hAnsi="Calibri"/>
                <w:color w:val="0F172A"/>
                <w:sz w:val="19"/>
              </w:rPr>
              <w:t>Recht op Beperking (Art. 18)</w:t>
            </w:r>
          </w:p>
        </w:tc>
        <w:tc>
          <w:tcPr>
            <w:tcW w:type="dxa" w:w="5102"/>
            <w:shd w:fill="F8FAFC"/>
            <w:tcMar>
              <w:top w:w="100" w:type="dxa"/>
              <w:bottom w:w="100" w:type="dxa"/>
              <w:left w:w="140" w:type="dxa"/>
              <w:right w:w="140" w:type="dxa"/>
            </w:tcMar>
          </w:tcPr>
          <w:p>
            <w:pPr>
              <w:spacing w:before="0" w:after="0" w:line="264" w:lineRule="auto"/>
            </w:pPr>
            <w:r>
              <w:rPr>
                <w:rFonts w:ascii="Calibri" w:hAnsi="Calibri"/>
                <w:color w:val="0F172A"/>
                <w:sz w:val="19"/>
              </w:rPr>
              <w:t>Gebruikers, vrijwilligers en stamgegevens kunnen direct op 'inactief' worden gezet zonder dataverlies via veilige toggle-acties.</w:t>
            </w:r>
          </w:p>
        </w:tc>
        <w:tc>
          <w:tcPr>
            <w:tcW w:type="dxa" w:w="1701"/>
            <w:shd w:fill="F8FAFC"/>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Recht op Dataportabiliteit (Art. 20)</w:t>
            </w:r>
          </w:p>
        </w:tc>
        <w:tc>
          <w:tcPr>
            <w:tcW w:type="dxa" w:w="5102"/>
            <w:shd w:fill="FFFFFF"/>
            <w:tcMar>
              <w:top w:w="100" w:type="dxa"/>
              <w:bottom w:w="100" w:type="dxa"/>
              <w:left w:w="140" w:type="dxa"/>
              <w:right w:w="140" w:type="dxa"/>
            </w:tcMar>
          </w:tcPr>
          <w:p>
            <w:pPr>
              <w:spacing w:before="0" w:after="0" w:line="264" w:lineRule="auto"/>
            </w:pPr>
            <w:r>
              <w:rPr>
                <w:rFonts w:ascii="Calibri" w:hAnsi="Calibri"/>
                <w:color w:val="0F172A"/>
                <w:sz w:val="19"/>
              </w:rPr>
              <w:t>Volledige export van registraties (inclusief resultaat van het bezoek en AI-classificaties) en evaluaties naar open CSV- en XLSX-bestanden.</w:t>
            </w:r>
          </w:p>
        </w:tc>
        <w:tc>
          <w:tcPr>
            <w:tcW w:type="dxa" w:w="1701"/>
            <w:shd w:fill="FFFFFF"/>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r>
        <w:tc>
          <w:tcPr>
            <w:tcW w:type="dxa" w:w="2551"/>
            <w:shd w:fill="F8FAFC"/>
            <w:tcMar>
              <w:top w:w="100" w:type="dxa"/>
              <w:bottom w:w="100" w:type="dxa"/>
              <w:left w:w="140" w:type="dxa"/>
              <w:right w:w="140" w:type="dxa"/>
            </w:tcMar>
          </w:tcPr>
          <w:p>
            <w:pPr>
              <w:spacing w:before="0" w:after="0" w:line="264" w:lineRule="auto"/>
            </w:pPr>
            <w:r>
              <w:rPr>
                <w:rFonts w:ascii="Calibri" w:hAnsi="Calibri"/>
                <w:color w:val="0F172A"/>
                <w:sz w:val="19"/>
              </w:rPr>
              <w:t>Recht van Bezwaar (Art. 21)</w:t>
            </w:r>
          </w:p>
        </w:tc>
        <w:tc>
          <w:tcPr>
            <w:tcW w:type="dxa" w:w="5102"/>
            <w:shd w:fill="F8FAFC"/>
            <w:tcMar>
              <w:top w:w="100" w:type="dxa"/>
              <w:bottom w:w="100" w:type="dxa"/>
              <w:left w:w="140" w:type="dxa"/>
              <w:right w:w="140" w:type="dxa"/>
            </w:tcMar>
          </w:tcPr>
          <w:p>
            <w:pPr>
              <w:spacing w:before="0" w:after="0" w:line="264" w:lineRule="auto"/>
            </w:pPr>
            <w:r>
              <w:rPr>
                <w:rFonts w:ascii="Calibri" w:hAnsi="Calibri"/>
                <w:color w:val="0F172A"/>
                <w:sz w:val="19"/>
              </w:rPr>
              <w:t>Vrijwilligers of medewerkers kunnen hun account laten deactiveren of ontkoppelen van specifieke organisaties met behoud van dataintegriteit.</w:t>
            </w:r>
          </w:p>
        </w:tc>
        <w:tc>
          <w:tcPr>
            <w:tcW w:type="dxa" w:w="1701"/>
            <w:shd w:fill="F8FAFC"/>
            <w:tcMar>
              <w:top w:w="100" w:type="dxa"/>
              <w:bottom w:w="100" w:type="dxa"/>
              <w:left w:w="140" w:type="dxa"/>
              <w:right w:w="140" w:type="dxa"/>
            </w:tcMar>
          </w:tcPr>
          <w:p>
            <w:pPr>
              <w:spacing w:before="0" w:after="0" w:line="264" w:lineRule="auto"/>
            </w:pPr>
            <w:r>
              <w:rPr>
                <w:rFonts w:ascii="Calibri" w:hAnsi="Calibri"/>
                <w:color w:val="0F172A"/>
                <w:sz w:val="19"/>
              </w:rPr>
              <w:t>VOLLEDIG ONDERSTEUND</w:t>
            </w:r>
          </w:p>
        </w:tc>
      </w:tr>
    </w:tbl>
    <w:p>
      <w:pPr>
        <w:spacing w:after="80"/>
      </w:pPr>
    </w:p>
    <w:p>
      <w:r>
        <w:rPr>
          <w:rFonts w:ascii="Calibri" w:hAnsi="Calibri"/>
          <w:b/>
          <w:color w:val="0F4C81"/>
          <w:sz w:val="32"/>
        </w:rPr>
        <w:t>5. Technische en Organisatorische Maatregelen (TOM's, Art. 32 AVG)</w:t>
      </w:r>
    </w:p>
    <w:tbl>
      <w:tblPr>
        <w:tblStyle w:val="TableGrid"/>
        <w:tblW w:type="auto" w:w="0"/>
        <w:tblLayout w:type="fixed"/>
        <w:tblLook w:firstColumn="1" w:firstRow="1" w:lastColumn="0" w:lastRow="0" w:noHBand="0" w:noVBand="1" w:val="04A0"/>
      </w:tblPr>
      <w:tblGrid>
        <w:gridCol w:w="3324"/>
        <w:gridCol w:w="3324"/>
        <w:gridCol w:w="3324"/>
      </w:tblGrid>
      <w:tr>
        <w:tc>
          <w:tcPr>
            <w:tcW w:type="dxa" w:w="2551"/>
            <w:shd w:fill="0F4C81"/>
            <w:tcMar>
              <w:top w:w="120" w:type="dxa"/>
              <w:bottom w:w="120" w:type="dxa"/>
              <w:left w:w="140" w:type="dxa"/>
              <w:right w:w="140" w:type="dxa"/>
            </w:tcMar>
          </w:tcPr>
          <w:p>
            <w:pPr>
              <w:spacing w:before="0" w:after="0"/>
            </w:pPr>
            <w:r>
              <w:rPr>
                <w:rFonts w:ascii="Calibri" w:hAnsi="Calibri"/>
                <w:b/>
                <w:color w:val="FFFFFF"/>
                <w:sz w:val="20"/>
              </w:rPr>
              <w:t>Pijler Art. 32 AVG</w:t>
            </w:r>
          </w:p>
        </w:tc>
        <w:tc>
          <w:tcPr>
            <w:tcW w:type="dxa" w:w="5386"/>
            <w:shd w:fill="0F4C81"/>
            <w:tcMar>
              <w:top w:w="120" w:type="dxa"/>
              <w:bottom w:w="120" w:type="dxa"/>
              <w:left w:w="140" w:type="dxa"/>
              <w:right w:w="140" w:type="dxa"/>
            </w:tcMar>
          </w:tcPr>
          <w:p>
            <w:pPr>
              <w:spacing w:before="0" w:after="0"/>
            </w:pPr>
            <w:r>
              <w:rPr>
                <w:rFonts w:ascii="Calibri" w:hAnsi="Calibri"/>
                <w:b/>
                <w:color w:val="FFFFFF"/>
                <w:sz w:val="20"/>
              </w:rPr>
              <w:t>Geïmplementeerde Maatregel</w:t>
            </w:r>
          </w:p>
        </w:tc>
        <w:tc>
          <w:tcPr>
            <w:tcW w:type="dxa" w:w="1417"/>
            <w:shd w:fill="0F4C81"/>
            <w:tcMar>
              <w:top w:w="120" w:type="dxa"/>
              <w:bottom w:w="120" w:type="dxa"/>
              <w:left w:w="140" w:type="dxa"/>
              <w:right w:w="140" w:type="dxa"/>
            </w:tcMar>
          </w:tcPr>
          <w:p>
            <w:pPr>
              <w:spacing w:before="0" w:after="0"/>
            </w:pPr>
            <w:r>
              <w:rPr>
                <w:rFonts w:ascii="Calibri" w:hAnsi="Calibri"/>
                <w:b/>
                <w:color w:val="FFFFFF"/>
                <w:sz w:val="20"/>
              </w:rPr>
              <w:t>Evaluatie</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Pseudonimisering &amp; Encryptie</w:t>
            </w:r>
          </w:p>
        </w:tc>
        <w:tc>
          <w:tcPr>
            <w:tcW w:type="dxa" w:w="5386"/>
            <w:shd w:fill="FFFFFF"/>
            <w:tcMar>
              <w:top w:w="100" w:type="dxa"/>
              <w:bottom w:w="100" w:type="dxa"/>
              <w:left w:w="140" w:type="dxa"/>
              <w:right w:w="140" w:type="dxa"/>
            </w:tcMar>
          </w:tcPr>
          <w:p>
            <w:pPr>
              <w:spacing w:before="0" w:after="0" w:line="264" w:lineRule="auto"/>
            </w:pPr>
            <w:r>
              <w:rPr>
                <w:rFonts w:ascii="Calibri" w:hAnsi="Calibri"/>
                <w:color w:val="0F172A"/>
                <w:sz w:val="19"/>
              </w:rPr>
              <w:t>Scrypt wachtwoordhashing met unieke salts. TLS 1.3 encryptie in transit. Veilige session cookies (Secure, HttpOnly, SameSite=Lax). Telemetrie geanonimiseerd op dagniveau.</w:t>
            </w:r>
          </w:p>
        </w:tc>
        <w:tc>
          <w:tcPr>
            <w:tcW w:type="dxa" w:w="1417"/>
            <w:shd w:fill="FFFFFF"/>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2551"/>
            <w:shd w:fill="F8FAFC"/>
            <w:tcMar>
              <w:top w:w="100" w:type="dxa"/>
              <w:bottom w:w="100" w:type="dxa"/>
              <w:left w:w="140" w:type="dxa"/>
              <w:right w:w="140" w:type="dxa"/>
            </w:tcMar>
          </w:tcPr>
          <w:p>
            <w:pPr>
              <w:spacing w:before="0" w:after="0" w:line="264" w:lineRule="auto"/>
            </w:pPr>
            <w:r>
              <w:rPr>
                <w:rFonts w:ascii="Calibri" w:hAnsi="Calibri"/>
                <w:color w:val="0F172A"/>
                <w:sz w:val="19"/>
              </w:rPr>
              <w:t>Vertrouwelijkheid &amp; Toegangsbeheer</w:t>
            </w:r>
          </w:p>
        </w:tc>
        <w:tc>
          <w:tcPr>
            <w:tcW w:type="dxa" w:w="5386"/>
            <w:shd w:fill="F8FAFC"/>
            <w:tcMar>
              <w:top w:w="100" w:type="dxa"/>
              <w:bottom w:w="100" w:type="dxa"/>
              <w:left w:w="140" w:type="dxa"/>
              <w:right w:w="140" w:type="dxa"/>
            </w:tcMar>
          </w:tcPr>
          <w:p>
            <w:pPr>
              <w:spacing w:before="0" w:after="0" w:line="264" w:lineRule="auto"/>
            </w:pPr>
            <w:r>
              <w:rPr>
                <w:rFonts w:ascii="Calibri" w:hAnsi="Calibri"/>
                <w:color w:val="0F172A"/>
                <w:sz w:val="19"/>
              </w:rPr>
              <w:t>Dynamisch RBAC-model met permissiematrix per module. @login_required, @admin_required en @platform_admin_required decorators. Subresource Integrity (SRI) op alle externe assets.</w:t>
            </w:r>
          </w:p>
        </w:tc>
        <w:tc>
          <w:tcPr>
            <w:tcW w:type="dxa" w:w="1417"/>
            <w:shd w:fill="F8FAFC"/>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Beschikbaarheid &amp; Veerkracht</w:t>
            </w:r>
          </w:p>
        </w:tc>
        <w:tc>
          <w:tcPr>
            <w:tcW w:type="dxa" w:w="5386"/>
            <w:shd w:fill="FFFFFF"/>
            <w:tcMar>
              <w:top w:w="100" w:type="dxa"/>
              <w:bottom w:w="100" w:type="dxa"/>
              <w:left w:w="140" w:type="dxa"/>
              <w:right w:w="140" w:type="dxa"/>
            </w:tcMar>
          </w:tcPr>
          <w:p>
            <w:pPr>
              <w:spacing w:before="0" w:after="0" w:line="264" w:lineRule="auto"/>
            </w:pPr>
            <w:r>
              <w:rPr>
                <w:rFonts w:ascii="Calibri" w:hAnsi="Calibri"/>
                <w:color w:val="0F172A"/>
                <w:sz w:val="19"/>
              </w:rPr>
              <w:t>Geautomatiseerde live pg_dump backups met GFS-retentieschema (7d/4w/2m). PostgreSQL met failover op Render. Systeemmonitor met realtime gezondheids- en responstijdcontroles.</w:t>
            </w:r>
          </w:p>
        </w:tc>
        <w:tc>
          <w:tcPr>
            <w:tcW w:type="dxa" w:w="1417"/>
            <w:shd w:fill="FFFFFF"/>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2551"/>
            <w:shd w:fill="F8FAFC"/>
            <w:tcMar>
              <w:top w:w="100" w:type="dxa"/>
              <w:bottom w:w="100" w:type="dxa"/>
              <w:left w:w="140" w:type="dxa"/>
              <w:right w:w="140" w:type="dxa"/>
            </w:tcMar>
          </w:tcPr>
          <w:p>
            <w:pPr>
              <w:spacing w:before="0" w:after="0" w:line="264" w:lineRule="auto"/>
            </w:pPr>
            <w:r>
              <w:rPr>
                <w:rFonts w:ascii="Calibri" w:hAnsi="Calibri"/>
                <w:color w:val="0F172A"/>
                <w:sz w:val="19"/>
              </w:rPr>
              <w:t>Incidentmonitoring &amp; Foutdetectie</w:t>
            </w:r>
          </w:p>
        </w:tc>
        <w:tc>
          <w:tcPr>
            <w:tcW w:type="dxa" w:w="5386"/>
            <w:shd w:fill="F8FAFC"/>
            <w:tcMar>
              <w:top w:w="100" w:type="dxa"/>
              <w:bottom w:w="100" w:type="dxa"/>
              <w:left w:w="140" w:type="dxa"/>
              <w:right w:w="140" w:type="dxa"/>
            </w:tcMar>
          </w:tcPr>
          <w:p>
            <w:pPr>
              <w:spacing w:before="0" w:after="0" w:line="264" w:lineRule="auto"/>
            </w:pPr>
            <w:r>
              <w:rPr>
                <w:rFonts w:ascii="Calibri" w:hAnsi="Calibri"/>
                <w:color w:val="0F172A"/>
                <w:sz w:val="19"/>
              </w:rPr>
              <w:t>Systeemfoutenlogboek (system_error_logs) registreert 500-fouten, 429 rate-limits en mislukte logins met opvolgingsworkflow (toggle status). Realtime sessieactiviteit.</w:t>
            </w:r>
          </w:p>
        </w:tc>
        <w:tc>
          <w:tcPr>
            <w:tcW w:type="dxa" w:w="1417"/>
            <w:shd w:fill="F8FAFC"/>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2551"/>
            <w:shd w:fill="FFFFFF"/>
            <w:tcMar>
              <w:top w:w="100" w:type="dxa"/>
              <w:bottom w:w="100" w:type="dxa"/>
              <w:left w:w="140" w:type="dxa"/>
              <w:right w:w="140" w:type="dxa"/>
            </w:tcMar>
          </w:tcPr>
          <w:p>
            <w:pPr>
              <w:spacing w:before="0" w:after="0" w:line="264" w:lineRule="auto"/>
            </w:pPr>
            <w:r>
              <w:rPr>
                <w:rFonts w:ascii="Calibri" w:hAnsi="Calibri"/>
                <w:color w:val="0F172A"/>
                <w:sz w:val="19"/>
              </w:rPr>
              <w:t>Regelmatige Evaluatie &amp; Testen</w:t>
            </w:r>
          </w:p>
        </w:tc>
        <w:tc>
          <w:tcPr>
            <w:tcW w:type="dxa" w:w="5386"/>
            <w:shd w:fill="FFFFFF"/>
            <w:tcMar>
              <w:top w:w="100" w:type="dxa"/>
              <w:bottom w:w="100" w:type="dxa"/>
              <w:left w:w="140" w:type="dxa"/>
              <w:right w:w="140" w:type="dxa"/>
            </w:tcMar>
          </w:tcPr>
          <w:p>
            <w:pPr>
              <w:spacing w:before="0" w:after="0" w:line="264" w:lineRule="auto"/>
            </w:pPr>
            <w:r>
              <w:rPr>
                <w:rFonts w:ascii="Calibri" w:hAnsi="Calibri"/>
                <w:color w:val="0F172A"/>
                <w:sz w:val="19"/>
              </w:rPr>
              <w:t>Geautomatiseerde testsuite van 295 unittests over 38 suites (100% geslaagd). SonarQube SAST integratie in CI/CD pipeline met Quality Gate.</w:t>
            </w:r>
          </w:p>
        </w:tc>
        <w:tc>
          <w:tcPr>
            <w:tcW w:type="dxa" w:w="1417"/>
            <w:shd w:fill="FFFFFF"/>
            <w:tcMar>
              <w:top w:w="100" w:type="dxa"/>
              <w:bottom w:w="100" w:type="dxa"/>
              <w:left w:w="140" w:type="dxa"/>
              <w:right w:w="140" w:type="dxa"/>
            </w:tcMar>
          </w:tcPr>
          <w:p>
            <w:pPr>
              <w:spacing w:before="0" w:after="0" w:line="264" w:lineRule="auto"/>
            </w:pPr>
            <w:r>
              <w:rPr>
                <w:rFonts w:ascii="Calibri" w:hAnsi="Calibri"/>
                <w:color w:val="0F172A"/>
                <w:sz w:val="19"/>
              </w:rPr>
              <w:t>CONFORM</w:t>
            </w:r>
          </w:p>
        </w:tc>
      </w:tr>
    </w:tbl>
    <w:p>
      <w:pPr>
        <w:spacing w:after="80"/>
      </w:pPr>
    </w:p>
    <w:p>
      <w:r>
        <w:rPr>
          <w:rFonts w:ascii="Calibri" w:hAnsi="Calibri"/>
          <w:b/>
          <w:color w:val="0F4C81"/>
          <w:sz w:val="32"/>
        </w:rPr>
        <w:t>6. Register van GDPR-Auditbevindingen</w:t>
      </w:r>
    </w:p>
    <w:p>
      <w:r>
        <w:rPr>
          <w:color w:val="0F172A"/>
          <w:sz w:val="20"/>
        </w:rPr>
        <w:t>Onderstaande tabel bevat het complete register van privacy- en gegevensbeschermingsbevindingen. Alle historische bevindingen (GDPR-01 t/m GDPR-13) zijn opnieuw geverifieerd en blijven blijvend effectief. De nieuwe bevindingen (GDPR-14 t/m GDPR-17) dekken de recente uitbreidingen van Release 2.8.0 af.</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c>
          <w:tcPr>
            <w:tcW w:type="dxa" w:w="1134"/>
            <w:shd w:fill="0F4C81"/>
            <w:tcMar>
              <w:top w:w="120" w:type="dxa"/>
              <w:bottom w:w="120" w:type="dxa"/>
              <w:left w:w="140" w:type="dxa"/>
              <w:right w:w="140" w:type="dxa"/>
            </w:tcMar>
          </w:tcPr>
          <w:p>
            <w:pPr>
              <w:spacing w:before="0" w:after="0"/>
            </w:pPr>
            <w:r>
              <w:rPr>
                <w:rFonts w:ascii="Calibri" w:hAnsi="Calibri"/>
                <w:b/>
                <w:color w:val="FFFFFF"/>
                <w:sz w:val="20"/>
              </w:rPr>
              <w:t>ID</w:t>
            </w:r>
          </w:p>
        </w:tc>
        <w:tc>
          <w:tcPr>
            <w:tcW w:type="dxa" w:w="4252"/>
            <w:shd w:fill="0F4C81"/>
            <w:tcMar>
              <w:top w:w="120" w:type="dxa"/>
              <w:bottom w:w="120" w:type="dxa"/>
              <w:left w:w="140" w:type="dxa"/>
              <w:right w:w="140" w:type="dxa"/>
            </w:tcMar>
          </w:tcPr>
          <w:p>
            <w:pPr>
              <w:spacing w:before="0" w:after="0"/>
            </w:pPr>
            <w:r>
              <w:rPr>
                <w:rFonts w:ascii="Calibri" w:hAnsi="Calibri"/>
                <w:b/>
                <w:color w:val="FFFFFF"/>
                <w:sz w:val="20"/>
              </w:rPr>
              <w:t>Onderwerp / Bevinding</w:t>
            </w:r>
          </w:p>
        </w:tc>
        <w:tc>
          <w:tcPr>
            <w:tcW w:type="dxa" w:w="1814"/>
            <w:shd w:fill="0F4C81"/>
            <w:tcMar>
              <w:top w:w="120" w:type="dxa"/>
              <w:bottom w:w="120" w:type="dxa"/>
              <w:left w:w="140" w:type="dxa"/>
              <w:right w:w="140" w:type="dxa"/>
            </w:tcMar>
          </w:tcPr>
          <w:p>
            <w:pPr>
              <w:spacing w:before="0" w:after="0"/>
            </w:pPr>
            <w:r>
              <w:rPr>
                <w:rFonts w:ascii="Calibri" w:hAnsi="Calibri"/>
                <w:b/>
                <w:color w:val="FFFFFF"/>
                <w:sz w:val="20"/>
              </w:rPr>
              <w:t>AVG Artikel</w:t>
            </w:r>
          </w:p>
        </w:tc>
        <w:tc>
          <w:tcPr>
            <w:tcW w:type="dxa" w:w="1020"/>
            <w:shd w:fill="0F4C81"/>
            <w:tcMar>
              <w:top w:w="120" w:type="dxa"/>
              <w:bottom w:w="120" w:type="dxa"/>
              <w:left w:w="140" w:type="dxa"/>
              <w:right w:w="140" w:type="dxa"/>
            </w:tcMar>
          </w:tcPr>
          <w:p>
            <w:pPr>
              <w:spacing w:before="0" w:after="0"/>
            </w:pPr>
            <w:r>
              <w:rPr>
                <w:rFonts w:ascii="Calibri" w:hAnsi="Calibri"/>
                <w:b/>
                <w:color w:val="FFFFFF"/>
                <w:sz w:val="20"/>
              </w:rPr>
              <w:t>Ernst</w:t>
            </w:r>
          </w:p>
        </w:tc>
        <w:tc>
          <w:tcPr>
            <w:tcW w:type="dxa" w:w="1134"/>
            <w:shd w:fill="0F4C81"/>
            <w:tcMar>
              <w:top w:w="120" w:type="dxa"/>
              <w:bottom w:w="120" w:type="dxa"/>
              <w:left w:w="140" w:type="dxa"/>
              <w:right w:w="140" w:type="dxa"/>
            </w:tcMar>
          </w:tcPr>
          <w:p>
            <w:pPr>
              <w:spacing w:before="0" w:after="0"/>
            </w:pPr>
            <w:r>
              <w:rPr>
                <w:rFonts w:ascii="Calibri" w:hAnsi="Calibri"/>
                <w:b/>
                <w:color w:val="FFFFFF"/>
                <w:sz w:val="20"/>
              </w:rPr>
              <w:t>Status</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GDPR-01</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Multi-tenant Isolatie &amp; Vergetelheid bij Gebruikersverwijdering</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17 &amp; 5.1.f</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Hoog</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GDPR-02</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Dataminimalisatie bij Feedback &amp; Schermafbeeldingen</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5.1.c &amp; 25</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GDPR-03</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Transparantie &amp; Informatieplicht op Publiek Evaluatieformulier</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13 &amp; 5.1.a</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GDPR-04</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Centrale Privacy &amp; AVG Modal in Navigatiemenu</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12 &amp; 13</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GDPR-05</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Opslagbeperking &amp; GFS Retentiebeheer op Database Backups</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5.1.e</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GDPR-06</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Recht op Rectificatie bij Ingediende Evaluaties</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16</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GDPR-07</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Privacy by Design bij Schema Switching &amp; Productie-indicator</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25</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GDPR-08</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Least Privilege Handhaving via Introductie van 'Lezer' Rol</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5.1.f &amp; 32</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GDPR-09</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Privacy by Default via Restrictie 'Alleen eigen registraties tonen'</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25 &amp; 5.1.f</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GDPR-10</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Dataminimalisatie &amp; Doelbinding bij Resultaat van het Bezoek</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5.1.c &amp; 6</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GDPR-11</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Dynamische Permissiematrix &amp; Uitfasering Legacy Autorisatie</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32 &amp; 5.1.f</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Hoog</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GDPR-12</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Privacywaarborgen bij Interne Organisatiecommunicatie</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5.1.a &amp; 32</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GDPR-13</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Zelfbediening &amp; Recht op Rectificatie van Vrijwilligersprofielen</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16</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GEVERIFIEERD</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GDPR-14</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Dataminimalisatie &amp; Pseudonimisering bij Telemetrie (page_view_stats)</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5.1.c &amp; 25</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GDPR-15</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Doelbinding &amp; Beveiligingsmonitoring in Foutenlogs (system_error_logs)</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5.1.b &amp; 6.1.f</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CONFORM (Aanbeveling)</w:t>
            </w:r>
          </w:p>
        </w:tc>
      </w:tr>
      <w:tr>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GDPR-16</w:t>
            </w:r>
          </w:p>
        </w:tc>
        <w:tc>
          <w:tcPr>
            <w:tcW w:type="dxa" w:w="4252"/>
            <w:shd w:fill="F8FAFC"/>
            <w:tcMar>
              <w:top w:w="100" w:type="dxa"/>
              <w:bottom w:w="100" w:type="dxa"/>
              <w:left w:w="140" w:type="dxa"/>
              <w:right w:w="140" w:type="dxa"/>
            </w:tcMar>
          </w:tcPr>
          <w:p>
            <w:pPr>
              <w:spacing w:before="0" w:after="0" w:line="264" w:lineRule="auto"/>
            </w:pPr>
            <w:r>
              <w:rPr>
                <w:rFonts w:ascii="Calibri" w:hAnsi="Calibri"/>
                <w:color w:val="0F172A"/>
                <w:sz w:val="19"/>
              </w:rPr>
              <w:t>Forensische Transparantie &amp; Verantwoording in Audit Trail (Sortering &amp; Dropdowns)</w:t>
            </w:r>
          </w:p>
        </w:tc>
        <w:tc>
          <w:tcPr>
            <w:tcW w:type="dxa" w:w="1814"/>
            <w:shd w:fill="F8FAFC"/>
            <w:tcMar>
              <w:top w:w="100" w:type="dxa"/>
              <w:bottom w:w="100" w:type="dxa"/>
              <w:left w:w="140" w:type="dxa"/>
              <w:right w:w="140" w:type="dxa"/>
            </w:tcMar>
          </w:tcPr>
          <w:p>
            <w:pPr>
              <w:spacing w:before="0" w:after="0" w:line="264" w:lineRule="auto"/>
            </w:pPr>
            <w:r>
              <w:rPr>
                <w:rFonts w:ascii="Calibri" w:hAnsi="Calibri"/>
                <w:color w:val="0F172A"/>
                <w:sz w:val="19"/>
              </w:rPr>
              <w:t>Art. 5.2 &amp; 24</w:t>
            </w:r>
          </w:p>
        </w:tc>
        <w:tc>
          <w:tcPr>
            <w:tcW w:type="dxa" w:w="1020"/>
            <w:shd w:fill="F8FAFC"/>
            <w:tcMar>
              <w:top w:w="100" w:type="dxa"/>
              <w:bottom w:w="100" w:type="dxa"/>
              <w:left w:w="140" w:type="dxa"/>
              <w:right w:w="140" w:type="dxa"/>
            </w:tcMar>
          </w:tcPr>
          <w:p>
            <w:pPr>
              <w:spacing w:before="0" w:after="0" w:line="264" w:lineRule="auto"/>
            </w:pPr>
            <w:r>
              <w:rPr>
                <w:rFonts w:ascii="Calibri" w:hAnsi="Calibri"/>
                <w:color w:val="0F172A"/>
                <w:sz w:val="19"/>
              </w:rPr>
              <w:t>Laag</w:t>
            </w:r>
          </w:p>
        </w:tc>
        <w:tc>
          <w:tcPr>
            <w:tcW w:type="dxa" w:w="1134"/>
            <w:shd w:fill="F8FAFC"/>
            <w:tcMar>
              <w:top w:w="100" w:type="dxa"/>
              <w:bottom w:w="100" w:type="dxa"/>
              <w:left w:w="140" w:type="dxa"/>
              <w:right w:w="140" w:type="dxa"/>
            </w:tcMar>
          </w:tcPr>
          <w:p>
            <w:pPr>
              <w:spacing w:before="0" w:after="0" w:line="264" w:lineRule="auto"/>
            </w:pPr>
            <w:r>
              <w:rPr>
                <w:rFonts w:ascii="Calibri" w:hAnsi="Calibri"/>
                <w:color w:val="0F172A"/>
                <w:sz w:val="19"/>
              </w:rPr>
              <w:t>CONFORM</w:t>
            </w:r>
          </w:p>
        </w:tc>
      </w:tr>
      <w:tr>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GDPR-17</w:t>
            </w:r>
          </w:p>
        </w:tc>
        <w:tc>
          <w:tcPr>
            <w:tcW w:type="dxa" w:w="4252"/>
            <w:shd w:fill="FFFFFF"/>
            <w:tcMar>
              <w:top w:w="100" w:type="dxa"/>
              <w:bottom w:w="100" w:type="dxa"/>
              <w:left w:w="140" w:type="dxa"/>
              <w:right w:w="140" w:type="dxa"/>
            </w:tcMar>
          </w:tcPr>
          <w:p>
            <w:pPr>
              <w:spacing w:before="0" w:after="0" w:line="264" w:lineRule="auto"/>
            </w:pPr>
            <w:r>
              <w:rPr>
                <w:rFonts w:ascii="Calibri" w:hAnsi="Calibri"/>
                <w:color w:val="0F172A"/>
                <w:sz w:val="19"/>
              </w:rPr>
              <w:t>Privacy by Design &amp; Tenant-Isolatie bij Behoud van Menukeuze bij Organisatiewissel</w:t>
            </w:r>
          </w:p>
        </w:tc>
        <w:tc>
          <w:tcPr>
            <w:tcW w:type="dxa" w:w="1814"/>
            <w:shd w:fill="FFFFFF"/>
            <w:tcMar>
              <w:top w:w="100" w:type="dxa"/>
              <w:bottom w:w="100" w:type="dxa"/>
              <w:left w:w="140" w:type="dxa"/>
              <w:right w:w="140" w:type="dxa"/>
            </w:tcMar>
          </w:tcPr>
          <w:p>
            <w:pPr>
              <w:spacing w:before="0" w:after="0" w:line="264" w:lineRule="auto"/>
            </w:pPr>
            <w:r>
              <w:rPr>
                <w:rFonts w:ascii="Calibri" w:hAnsi="Calibri"/>
                <w:color w:val="0F172A"/>
                <w:sz w:val="19"/>
              </w:rPr>
              <w:t>Art. 5.1.f &amp; 32</w:t>
            </w:r>
          </w:p>
        </w:tc>
        <w:tc>
          <w:tcPr>
            <w:tcW w:type="dxa" w:w="1020"/>
            <w:shd w:fill="FFFFFF"/>
            <w:tcMar>
              <w:top w:w="100" w:type="dxa"/>
              <w:bottom w:w="100" w:type="dxa"/>
              <w:left w:w="140" w:type="dxa"/>
              <w:right w:w="140" w:type="dxa"/>
            </w:tcMar>
          </w:tcPr>
          <w:p>
            <w:pPr>
              <w:spacing w:before="0" w:after="0" w:line="264" w:lineRule="auto"/>
            </w:pPr>
            <w:r>
              <w:rPr>
                <w:rFonts w:ascii="Calibri" w:hAnsi="Calibri"/>
                <w:color w:val="0F172A"/>
                <w:sz w:val="19"/>
              </w:rPr>
              <w:t>Medium</w:t>
            </w:r>
          </w:p>
        </w:tc>
        <w:tc>
          <w:tcPr>
            <w:tcW w:type="dxa" w:w="1134"/>
            <w:shd w:fill="FFFFFF"/>
            <w:tcMar>
              <w:top w:w="100" w:type="dxa"/>
              <w:bottom w:w="100" w:type="dxa"/>
              <w:left w:w="140" w:type="dxa"/>
              <w:right w:w="140" w:type="dxa"/>
            </w:tcMar>
          </w:tcPr>
          <w:p>
            <w:pPr>
              <w:spacing w:before="0" w:after="0" w:line="264" w:lineRule="auto"/>
            </w:pPr>
            <w:r>
              <w:rPr>
                <w:rFonts w:ascii="Calibri" w:hAnsi="Calibri"/>
                <w:color w:val="0F172A"/>
                <w:sz w:val="19"/>
              </w:rPr>
              <w:t>CONFORM</w:t>
            </w:r>
          </w:p>
        </w:tc>
      </w:tr>
    </w:tbl>
    <w:p>
      <w:pPr>
        <w:spacing w:after="80"/>
      </w:pPr>
    </w:p>
    <w:p>
      <w:r>
        <w:rPr>
          <w:rFonts w:ascii="Calibri" w:hAnsi="Calibri"/>
          <w:b/>
          <w:color w:val="0284C7"/>
          <w:sz w:val="26"/>
        </w:rPr>
        <w:t>6.1 Toelichting op Recente Bevindingen (GDPR-14 t/m GDPR-17)</w:t>
      </w:r>
    </w:p>
    <w:p>
      <w:r>
        <w:rPr>
          <w:rFonts w:ascii="Calibri" w:hAnsi="Calibri"/>
          <w:b/>
          <w:color w:val="0F4C81"/>
          <w:sz w:val="22"/>
        </w:rPr>
        <w:t>GDPR-14: Dataminimalisatie &amp; Pseudonimisering bij Telemetrie (page_view_stats)</w:t>
      </w:r>
    </w:p>
    <w:p>
      <w:pPr>
        <w:spacing w:after="80"/>
      </w:pPr>
      <w:r>
        <w:rPr>
          <w:rFonts w:ascii="Calibri" w:hAnsi="Calibri"/>
          <w:color w:val="334155"/>
          <w:sz w:val="19"/>
        </w:rPr>
        <w:t>Risicoanalyse: Onzorgvuldige telemetrie kan leiden tot onrechtmatige tracking van individueel klikgedrag of opslag van persoonsgegevens.</w:t>
        <w:br/>
        <w:t>Geïmplementeerde Oplossing: In models/telemetry.py en utils/health.py (record_page_view) worden hits uitsluitend geaggregeerd per datum, endpoint en organisatie_id. Er worden géén IP-adressen, user-agents, query-parameters of gebruikers-IDs opgeslagen. Volledig conform Privacy by Design (Art. 25 AVG).</w:t>
      </w:r>
    </w:p>
    <w:p>
      <w:r>
        <w:rPr>
          <w:rFonts w:ascii="Calibri" w:hAnsi="Calibri"/>
          <w:b/>
          <w:color w:val="0F4C81"/>
          <w:sz w:val="22"/>
        </w:rPr>
        <w:t>GDPR-15: Doelbinding &amp; Beveiligingsmonitoring in Systeemfoutenlogs (system_error_logs)</w:t>
      </w:r>
    </w:p>
    <w:p>
      <w:pPr>
        <w:spacing w:after="80"/>
      </w:pPr>
      <w:r>
        <w:rPr>
          <w:rFonts w:ascii="Calibri" w:hAnsi="Calibri"/>
          <w:color w:val="334155"/>
          <w:sz w:val="19"/>
        </w:rPr>
        <w:t>Risicoanalyse: Logging van IP-adressen en foutberichten bij serverfouten en mislukte logins vereist een geldige rechtsgrond en bewaartermijn.</w:t>
        <w:br/>
        <w:t>Geïmplementeerde Oplossing: Verwerking is gebaseerd op gerechtvaardigd belang (Art. 6.1.f &amp; Overweging 49 AVG voor netwerk- en informatiebeveiliging). Wachtwoorden worden bij mislukte logins conform CWE-532 nooit opgeslagen. Toegang is strikt voorbehouden aan platformbeheerders. Aanbeveling: voorzie een periodieke opruimtaak voor opgeloste logs ouder dan 90-180 dagen.</w:t>
      </w:r>
    </w:p>
    <w:p>
      <w:r>
        <w:rPr>
          <w:rFonts w:ascii="Calibri" w:hAnsi="Calibri"/>
          <w:b/>
          <w:color w:val="0F4C81"/>
          <w:sz w:val="22"/>
        </w:rPr>
        <w:t>GDPR-16: Forensische Transparantie &amp; Verantwoording in Audit Trail</w:t>
      </w:r>
    </w:p>
    <w:p>
      <w:pPr>
        <w:spacing w:after="80"/>
      </w:pPr>
      <w:r>
        <w:rPr>
          <w:rFonts w:ascii="Calibri" w:hAnsi="Calibri"/>
          <w:color w:val="334155"/>
          <w:sz w:val="19"/>
        </w:rPr>
        <w:t>Risicoanalyse: Vrije tekstfilters en ontbrekende kolom-sortering bemoeilijkten forensische analyse van audit trails.</w:t>
        <w:br/>
        <w:t>Geïmplementeerde Oplossing: In /beheer/audit-log zijn alle kolommen interactief sorteerbaar met behoud van paginering en filters. De filters voor Gebruiker en Tabel zijn alfabetisch gesorteerde dropdownlijsten, waardoor audits sneller en foutloos verlopen (Art. 5.2 AVG).</w:t>
      </w:r>
    </w:p>
    <w:p>
      <w:r>
        <w:rPr>
          <w:rFonts w:ascii="Calibri" w:hAnsi="Calibri"/>
          <w:b/>
          <w:color w:val="0F4C81"/>
          <w:sz w:val="22"/>
        </w:rPr>
        <w:t>GDPR-17: Privacy by Design &amp; Tenant-Isolatie bij Menubehoud na Organisatiewissel</w:t>
      </w:r>
    </w:p>
    <w:p>
      <w:pPr>
        <w:spacing w:after="80"/>
      </w:pPr>
      <w:r>
        <w:rPr>
          <w:rFonts w:ascii="Calibri" w:hAnsi="Calibri"/>
          <w:color w:val="334155"/>
          <w:sz w:val="19"/>
        </w:rPr>
        <w:t>Risicoanalyse: Het behouden van de geopende route bij een organisatiewissel mag er niet toe leiden dat een gebruiker toegang krijgt tot niet-toegestane schermen van de andere organisatie.</w:t>
        <w:br/>
        <w:t>Geïmplementeerde Oplossing: In routes/auth.py (_bepaal_switch_redirect_url en _is_allowed_in_sjabloon) wordt vóór de redirect gecontroleerd of het doelendpoint toegestaan is voor de gekozen tenant. Bij ontoelaatbaarheid volgt een veilige fallback naar het registratieoverzicht.</w:t>
      </w:r>
    </w:p>
    <w:p>
      <w:r>
        <w:rPr>
          <w:rFonts w:ascii="Calibri" w:hAnsi="Calibri"/>
          <w:b/>
          <w:color w:val="0F4C81"/>
          <w:sz w:val="32"/>
        </w:rPr>
        <w:t>7. Conclusie &amp; Conformiteitsverklaring</w:t>
      </w:r>
    </w:p>
    <w:p>
      <w:r>
        <w:rPr>
          <w:color w:val="0F172A"/>
          <w:sz w:val="20"/>
        </w:rPr>
        <w:t>De herhaalde GDPR / AVG compliance audit van 27 oktober 2026 bevestigt dat het Digidokters platform volledig in overeenstemming is met de Verordening (EU) 2016/679 (Algemene Verordening Gegevensbescherming).</w:t>
        <w:br/>
        <w:br/>
        <w:t>Eindoordeel: Alle verwerkingsprocessen, de multi-tenant gegevensscheiding, het retentiebeheer op backups, de documentweergave, de dynamische permissiematrix, de resultaatregistratie, het Systeemmonitor Dashboard, de geaggregeerde telemetrie, de foutenmonitoring en de rechten van betrokkenen zijn grondig getoetst en gevalideerd met 295 geautomatiseerde unittests over 38 suites (100% geslaagd). Lokale besturen en partnerorganisaties kunnen het platform met een gerust hart inzetten binnen een veilige, privacybestendige en AVG-conforme productieomgeving.</w:t>
      </w:r>
    </w:p>
    <w:tbl>
      <w:tblPr>
        <w:tblStyle w:val="TableGrid"/>
        <w:tblW w:type="auto" w:w="0"/>
        <w:tblLayout w:type="fixed"/>
        <w:tblLook w:firstColumn="1" w:firstRow="1" w:lastColumn="0" w:lastRow="0" w:noHBand="0" w:noVBand="1" w:val="04A0"/>
      </w:tblPr>
      <w:tblGrid>
        <w:gridCol w:w="3324"/>
        <w:gridCol w:w="3324"/>
        <w:gridCol w:w="3324"/>
      </w:tblGrid>
      <w:tr>
        <w:tc>
          <w:tcPr>
            <w:tcW w:type="dxa" w:w="3969"/>
            <w:shd w:fill="0F4C81"/>
            <w:tcMar>
              <w:top w:w="120" w:type="dxa"/>
              <w:bottom w:w="120" w:type="dxa"/>
              <w:left w:w="140" w:type="dxa"/>
              <w:right w:w="140" w:type="dxa"/>
            </w:tcMar>
          </w:tcPr>
          <w:p>
            <w:pPr>
              <w:spacing w:before="0" w:after="0"/>
            </w:pPr>
            <w:r>
              <w:rPr>
                <w:rFonts w:ascii="Calibri" w:hAnsi="Calibri"/>
                <w:b/>
                <w:color w:val="FFFFFF"/>
                <w:sz w:val="20"/>
              </w:rPr>
              <w:t>Rol / Discipline</w:t>
            </w:r>
          </w:p>
        </w:tc>
        <w:tc>
          <w:tcPr>
            <w:tcW w:type="dxa" w:w="3402"/>
            <w:shd w:fill="0F4C81"/>
            <w:tcMar>
              <w:top w:w="120" w:type="dxa"/>
              <w:bottom w:w="120" w:type="dxa"/>
              <w:left w:w="140" w:type="dxa"/>
              <w:right w:w="140" w:type="dxa"/>
            </w:tcMar>
          </w:tcPr>
          <w:p>
            <w:pPr>
              <w:spacing w:before="0" w:after="0"/>
            </w:pPr>
            <w:r>
              <w:rPr>
                <w:rFonts w:ascii="Calibri" w:hAnsi="Calibri"/>
                <w:b/>
                <w:color w:val="FFFFFF"/>
                <w:sz w:val="20"/>
              </w:rPr>
              <w:t>Status</w:t>
            </w:r>
          </w:p>
        </w:tc>
        <w:tc>
          <w:tcPr>
            <w:tcW w:type="dxa" w:w="1984"/>
            <w:shd w:fill="0F4C81"/>
            <w:tcMar>
              <w:top w:w="120" w:type="dxa"/>
              <w:bottom w:w="120" w:type="dxa"/>
              <w:left w:w="140" w:type="dxa"/>
              <w:right w:w="140" w:type="dxa"/>
            </w:tcMar>
          </w:tcPr>
          <w:p>
            <w:pPr>
              <w:spacing w:before="0" w:after="0"/>
            </w:pPr>
            <w:r>
              <w:rPr>
                <w:rFonts w:ascii="Calibri" w:hAnsi="Calibri"/>
                <w:b/>
                <w:color w:val="FFFFFF"/>
                <w:sz w:val="20"/>
              </w:rPr>
              <w:t>Datum</w:t>
            </w:r>
          </w:p>
        </w:tc>
      </w:tr>
      <w:tr>
        <w:tc>
          <w:tcPr>
            <w:tcW w:type="dxa" w:w="3969"/>
            <w:shd w:fill="FFFFFF"/>
            <w:tcMar>
              <w:top w:w="100" w:type="dxa"/>
              <w:bottom w:w="100" w:type="dxa"/>
              <w:left w:w="140" w:type="dxa"/>
              <w:right w:w="140" w:type="dxa"/>
            </w:tcMar>
          </w:tcPr>
          <w:p>
            <w:pPr>
              <w:spacing w:before="0" w:after="0" w:line="264" w:lineRule="auto"/>
            </w:pPr>
            <w:r>
              <w:rPr>
                <w:rFonts w:ascii="Calibri" w:hAnsi="Calibri"/>
                <w:color w:val="0F172A"/>
                <w:sz w:val="19"/>
              </w:rPr>
              <w:t>Data Protection Officer / Privacy Auditor</w:t>
            </w:r>
          </w:p>
        </w:tc>
        <w:tc>
          <w:tcPr>
            <w:tcW w:type="dxa" w:w="3402"/>
            <w:shd w:fill="FFFFFF"/>
            <w:tcMar>
              <w:top w:w="100" w:type="dxa"/>
              <w:bottom w:w="100" w:type="dxa"/>
              <w:left w:w="140" w:type="dxa"/>
              <w:right w:w="140" w:type="dxa"/>
            </w:tcMar>
          </w:tcPr>
          <w:p>
            <w:pPr>
              <w:spacing w:before="0" w:after="0" w:line="264" w:lineRule="auto"/>
            </w:pPr>
            <w:r>
              <w:rPr>
                <w:rFonts w:ascii="Calibri" w:hAnsi="Calibri"/>
                <w:color w:val="0F172A"/>
                <w:sz w:val="19"/>
              </w:rPr>
              <w:t>CONFORM AVG / GDPR VERKLAARD</w:t>
            </w:r>
          </w:p>
        </w:tc>
        <w:tc>
          <w:tcPr>
            <w:tcW w:type="dxa" w:w="1984"/>
            <w:shd w:fill="FFFFFF"/>
            <w:tcMar>
              <w:top w:w="100" w:type="dxa"/>
              <w:bottom w:w="100" w:type="dxa"/>
              <w:left w:w="140" w:type="dxa"/>
              <w:right w:w="140" w:type="dxa"/>
            </w:tcMar>
          </w:tcPr>
          <w:p>
            <w:pPr>
              <w:spacing w:before="0" w:after="0" w:line="264" w:lineRule="auto"/>
            </w:pPr>
            <w:r>
              <w:rPr>
                <w:rFonts w:ascii="Calibri" w:hAnsi="Calibri"/>
                <w:color w:val="0F172A"/>
                <w:sz w:val="19"/>
              </w:rPr>
              <w:t>27-10-2026</w:t>
            </w:r>
          </w:p>
        </w:tc>
      </w:tr>
      <w:tr>
        <w:tc>
          <w:tcPr>
            <w:tcW w:type="dxa" w:w="3969"/>
            <w:shd w:fill="F8FAFC"/>
            <w:tcMar>
              <w:top w:w="100" w:type="dxa"/>
              <w:bottom w:w="100" w:type="dxa"/>
              <w:left w:w="140" w:type="dxa"/>
              <w:right w:w="140" w:type="dxa"/>
            </w:tcMar>
          </w:tcPr>
          <w:p>
            <w:pPr>
              <w:spacing w:before="0" w:after="0" w:line="264" w:lineRule="auto"/>
            </w:pPr>
            <w:r>
              <w:rPr>
                <w:rFonts w:ascii="Calibri" w:hAnsi="Calibri"/>
                <w:color w:val="0F172A"/>
                <w:sz w:val="19"/>
              </w:rPr>
              <w:t>Geautomatiseerde Testsuite (295 tests, 38 suites)</w:t>
            </w:r>
          </w:p>
        </w:tc>
        <w:tc>
          <w:tcPr>
            <w:tcW w:type="dxa" w:w="3402"/>
            <w:shd w:fill="F8FAFC"/>
            <w:tcMar>
              <w:top w:w="100" w:type="dxa"/>
              <w:bottom w:w="100" w:type="dxa"/>
              <w:left w:w="140" w:type="dxa"/>
              <w:right w:w="140" w:type="dxa"/>
            </w:tcMar>
          </w:tcPr>
          <w:p>
            <w:pPr>
              <w:spacing w:before="0" w:after="0" w:line="264" w:lineRule="auto"/>
            </w:pPr>
            <w:r>
              <w:rPr>
                <w:rFonts w:ascii="Calibri" w:hAnsi="Calibri"/>
                <w:color w:val="0F172A"/>
                <w:sz w:val="19"/>
              </w:rPr>
              <w:t>100% GESLAAGD (0 fouten)</w:t>
            </w:r>
          </w:p>
        </w:tc>
        <w:tc>
          <w:tcPr>
            <w:tcW w:type="dxa" w:w="1984"/>
            <w:shd w:fill="F8FAFC"/>
            <w:tcMar>
              <w:top w:w="100" w:type="dxa"/>
              <w:bottom w:w="100" w:type="dxa"/>
              <w:left w:w="140" w:type="dxa"/>
              <w:right w:w="140" w:type="dxa"/>
            </w:tcMar>
          </w:tcPr>
          <w:p>
            <w:pPr>
              <w:spacing w:before="0" w:after="0" w:line="264" w:lineRule="auto"/>
            </w:pPr>
            <w:r>
              <w:rPr>
                <w:rFonts w:ascii="Calibri" w:hAnsi="Calibri"/>
                <w:color w:val="0F172A"/>
                <w:sz w:val="19"/>
              </w:rPr>
              <w:t>27-10-2026</w:t>
            </w:r>
          </w:p>
        </w:tc>
      </w:tr>
      <w:tr>
        <w:tc>
          <w:tcPr>
            <w:tcW w:type="dxa" w:w="3969"/>
            <w:shd w:fill="FFFFFF"/>
            <w:tcMar>
              <w:top w:w="100" w:type="dxa"/>
              <w:bottom w:w="100" w:type="dxa"/>
              <w:left w:w="140" w:type="dxa"/>
              <w:right w:w="140" w:type="dxa"/>
            </w:tcMar>
          </w:tcPr>
          <w:p>
            <w:pPr>
              <w:spacing w:before="0" w:after="0" w:line="264" w:lineRule="auto"/>
            </w:pPr>
            <w:r>
              <w:rPr>
                <w:rFonts w:ascii="Calibri" w:hAnsi="Calibri"/>
                <w:color w:val="0F172A"/>
                <w:sz w:val="19"/>
              </w:rPr>
              <w:t>Multi-Tenant Isolatie &amp; Telemetrie Verificatie</w:t>
            </w:r>
          </w:p>
        </w:tc>
        <w:tc>
          <w:tcPr>
            <w:tcW w:type="dxa" w:w="3402"/>
            <w:shd w:fill="FFFFFF"/>
            <w:tcMar>
              <w:top w:w="100" w:type="dxa"/>
              <w:bottom w:w="100" w:type="dxa"/>
              <w:left w:w="140" w:type="dxa"/>
              <w:right w:w="140" w:type="dxa"/>
            </w:tcMar>
          </w:tcPr>
          <w:p>
            <w:pPr>
              <w:spacing w:before="0" w:after="0" w:line="264" w:lineRule="auto"/>
            </w:pPr>
            <w:r>
              <w:rPr>
                <w:rFonts w:ascii="Calibri" w:hAnsi="Calibri"/>
                <w:color w:val="0F172A"/>
                <w:sz w:val="19"/>
              </w:rPr>
              <w:t>GEVALIDEERD (0 datalekken)</w:t>
            </w:r>
          </w:p>
        </w:tc>
        <w:tc>
          <w:tcPr>
            <w:tcW w:type="dxa" w:w="1984"/>
            <w:shd w:fill="FFFFFF"/>
            <w:tcMar>
              <w:top w:w="100" w:type="dxa"/>
              <w:bottom w:w="100" w:type="dxa"/>
              <w:left w:w="140" w:type="dxa"/>
              <w:right w:w="140" w:type="dxa"/>
            </w:tcMar>
          </w:tcPr>
          <w:p>
            <w:pPr>
              <w:spacing w:before="0" w:after="0" w:line="264" w:lineRule="auto"/>
            </w:pPr>
            <w:r>
              <w:rPr>
                <w:rFonts w:ascii="Calibri" w:hAnsi="Calibri"/>
                <w:color w:val="0F172A"/>
                <w:sz w:val="19"/>
              </w:rPr>
              <w:t>27-10-2026</w:t>
            </w:r>
          </w:p>
        </w:tc>
      </w:tr>
    </w:tbl>
    <w:p>
      <w:pPr>
        <w:spacing w:after="8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