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b/>
          <w:color w:val="0F4C81"/>
          <w:sz w:val="56"/>
        </w:rPr>
        <w:t>DIGIDOKTERS</w:t>
        <w:br/>
      </w:r>
      <w:r>
        <w:rPr>
          <w:b/>
          <w:color w:val="0284C7"/>
          <w:sz w:val="32"/>
        </w:rPr>
        <w:t>GDPR / AVG Compliance Audit &amp; Privacy Review</w:t>
        <w:br/>
      </w:r>
      <w:r>
        <w:rPr>
          <w:color w:val="64748B"/>
          <w:sz w:val="22"/>
        </w:rPr>
        <w:t>Herhaalde Privacy- en Gegevensbeschermingsaudit (9 oktober 2026)</w:t>
        <w:br/>
        <w:t>Toetsing van Resultaatregistratie, Dynamisch RBAC &amp; Permissiematrix, Restrictie Eigen Registraties, Interne Communicatie, Zelfbediening &amp; AI-Analyse</w:t>
      </w:r>
    </w:p>
    <w:p>
      <w:pPr>
        <w:spacing w:after="360"/>
      </w:pP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4703"/>
        <w:gridCol w:w="4703"/>
      </w:tblGrid>
      <w:tr>
        <w:tc>
          <w:tcPr>
            <w:tcW w:type="dxa" w:w="3118"/>
            <w:shd w:fill="0F4C81"/>
            <w:tcMar>
              <w:top w:w="160" w:type="dxa"/>
              <w:bottom w:w="160" w:type="dxa"/>
              <w:left w:w="180" w:type="dxa"/>
              <w:right w:w="180" w:type="dxa"/>
            </w:tcMar>
          </w:tcPr>
          <w:p>
            <w:pPr>
              <w:jc w:val="left"/>
            </w:pPr>
            <w:r>
              <w:rPr>
                <w:b/>
                <w:color w:val="FFFFFF"/>
                <w:sz w:val="19"/>
              </w:rPr>
              <w:t>Audit Eigenschap</w:t>
            </w:r>
          </w:p>
        </w:tc>
        <w:tc>
          <w:tcPr>
            <w:tcW w:type="dxa" w:w="6236"/>
            <w:shd w:fill="0F4C81"/>
            <w:tcMar>
              <w:top w:w="160" w:type="dxa"/>
              <w:bottom w:w="160" w:type="dxa"/>
              <w:left w:w="180" w:type="dxa"/>
              <w:right w:w="180" w:type="dxa"/>
            </w:tcMar>
          </w:tcPr>
          <w:p>
            <w:pPr>
              <w:jc w:val="left"/>
            </w:pPr>
            <w:r>
              <w:rPr>
                <w:b/>
                <w:color w:val="FFFFFF"/>
                <w:sz w:val="19"/>
              </w:rPr>
              <w:t>Specificatie</w:t>
            </w:r>
          </w:p>
        </w:tc>
      </w:tr>
      <w:tr>
        <w:tc>
          <w:tcPr>
            <w:tcW w:type="dxa" w:w="3118"/>
            <w:shd w:fill="FFFFFF"/>
            <w:tcMar>
              <w:top w:w="120" w:type="dxa"/>
              <w:bottom w:w="120" w:type="dxa"/>
              <w:left w:w="160" w:type="dxa"/>
              <w:right w:w="160" w:type="dxa"/>
            </w:tcMar>
          </w:tcPr>
          <w:p>
            <w:r>
              <w:rPr>
                <w:color w:val="0F172A"/>
                <w:sz w:val="18"/>
              </w:rPr>
              <w:t>Applicatienaam</w:t>
            </w:r>
          </w:p>
        </w:tc>
        <w:tc>
          <w:tcPr>
            <w:tcW w:type="dxa" w:w="6236"/>
            <w:shd w:fill="FFFFFF"/>
            <w:tcMar>
              <w:top w:w="120" w:type="dxa"/>
              <w:bottom w:w="120" w:type="dxa"/>
              <w:left w:w="160" w:type="dxa"/>
              <w:right w:w="160" w:type="dxa"/>
            </w:tcMar>
          </w:tcPr>
          <w:p>
            <w:r>
              <w:rPr>
                <w:color w:val="0F172A"/>
                <w:sz w:val="18"/>
              </w:rPr>
              <w:t>Digidokters Platform (Multi-Organisatie Digipunt Beheersysteem)</w:t>
            </w:r>
          </w:p>
        </w:tc>
      </w:tr>
      <w:tr>
        <w:tc>
          <w:tcPr>
            <w:tcW w:type="dxa" w:w="3118"/>
            <w:shd w:fill="F0F7FF"/>
            <w:tcMar>
              <w:top w:w="120" w:type="dxa"/>
              <w:bottom w:w="120" w:type="dxa"/>
              <w:left w:w="160" w:type="dxa"/>
              <w:right w:w="160" w:type="dxa"/>
            </w:tcMar>
          </w:tcPr>
          <w:p>
            <w:r>
              <w:rPr>
                <w:color w:val="0F172A"/>
                <w:sz w:val="18"/>
              </w:rPr>
              <w:t>Auditdatum</w:t>
            </w:r>
          </w:p>
        </w:tc>
        <w:tc>
          <w:tcPr>
            <w:tcW w:type="dxa" w:w="6236"/>
            <w:shd w:fill="F0F7FF"/>
            <w:tcMar>
              <w:top w:w="120" w:type="dxa"/>
              <w:bottom w:w="120" w:type="dxa"/>
              <w:left w:w="160" w:type="dxa"/>
              <w:right w:w="160" w:type="dxa"/>
            </w:tcMar>
          </w:tcPr>
          <w:p>
            <w:r>
              <w:rPr>
                <w:color w:val="0F172A"/>
                <w:sz w:val="18"/>
              </w:rPr>
              <w:t>9 oktober 2026</w:t>
            </w:r>
          </w:p>
        </w:tc>
      </w:tr>
      <w:tr>
        <w:tc>
          <w:tcPr>
            <w:tcW w:type="dxa" w:w="3118"/>
            <w:shd w:fill="FFFFFF"/>
            <w:tcMar>
              <w:top w:w="120" w:type="dxa"/>
              <w:bottom w:w="120" w:type="dxa"/>
              <w:left w:w="160" w:type="dxa"/>
              <w:right w:w="160" w:type="dxa"/>
            </w:tcMar>
          </w:tcPr>
          <w:p>
            <w:r>
              <w:rPr>
                <w:color w:val="0F172A"/>
                <w:sz w:val="18"/>
              </w:rPr>
              <w:t>Versie Rapport</w:t>
            </w:r>
          </w:p>
        </w:tc>
        <w:tc>
          <w:tcPr>
            <w:tcW w:type="dxa" w:w="6236"/>
            <w:shd w:fill="FFFFFF"/>
            <w:tcMar>
              <w:top w:w="120" w:type="dxa"/>
              <w:bottom w:w="120" w:type="dxa"/>
              <w:left w:w="160" w:type="dxa"/>
              <w:right w:w="160" w:type="dxa"/>
            </w:tcMar>
          </w:tcPr>
          <w:p>
            <w:r>
              <w:rPr>
                <w:color w:val="0F172A"/>
                <w:sz w:val="18"/>
              </w:rPr>
              <w:t>Versie 3.0 (Herhaalde AVG/GDPR audit na Release 2.7.0 &amp; Resultaatregistratie)</w:t>
            </w:r>
          </w:p>
        </w:tc>
      </w:tr>
      <w:tr>
        <w:tc>
          <w:tcPr>
            <w:tcW w:type="dxa" w:w="3118"/>
            <w:shd w:fill="F0F7FF"/>
            <w:tcMar>
              <w:top w:w="120" w:type="dxa"/>
              <w:bottom w:w="120" w:type="dxa"/>
              <w:left w:w="160" w:type="dxa"/>
              <w:right w:w="160" w:type="dxa"/>
            </w:tcMar>
          </w:tcPr>
          <w:p>
            <w:r>
              <w:rPr>
                <w:color w:val="0F172A"/>
                <w:sz w:val="18"/>
              </w:rPr>
              <w:t>Wettelijk Kader</w:t>
            </w:r>
          </w:p>
        </w:tc>
        <w:tc>
          <w:tcPr>
            <w:tcW w:type="dxa" w:w="6236"/>
            <w:shd w:fill="F0F7FF"/>
            <w:tcMar>
              <w:top w:w="120" w:type="dxa"/>
              <w:bottom w:w="120" w:type="dxa"/>
              <w:left w:w="160" w:type="dxa"/>
              <w:right w:w="160" w:type="dxa"/>
            </w:tcMar>
          </w:tcPr>
          <w:p>
            <w:r>
              <w:rPr>
                <w:color w:val="0F172A"/>
                <w:sz w:val="18"/>
              </w:rPr>
              <w:t>Verordening (EU) 2016/679 (Algemene Verordening Gegevensbescherming - AVG / GDPR)</w:t>
            </w:r>
          </w:p>
        </w:tc>
      </w:tr>
      <w:tr>
        <w:tc>
          <w:tcPr>
            <w:tcW w:type="dxa" w:w="3118"/>
            <w:shd w:fill="FFFFFF"/>
            <w:tcMar>
              <w:top w:w="120" w:type="dxa"/>
              <w:bottom w:w="120" w:type="dxa"/>
              <w:left w:w="160" w:type="dxa"/>
              <w:right w:w="160" w:type="dxa"/>
            </w:tcMar>
          </w:tcPr>
          <w:p>
            <w:r>
              <w:rPr>
                <w:color w:val="0F172A"/>
                <w:sz w:val="18"/>
              </w:rPr>
              <w:t>Type Audit</w:t>
            </w:r>
          </w:p>
        </w:tc>
        <w:tc>
          <w:tcPr>
            <w:tcW w:type="dxa" w:w="6236"/>
            <w:shd w:fill="FFFFFF"/>
            <w:tcMar>
              <w:top w:w="120" w:type="dxa"/>
              <w:bottom w:w="120" w:type="dxa"/>
              <w:left w:w="160" w:type="dxa"/>
              <w:right w:w="160" w:type="dxa"/>
            </w:tcMar>
          </w:tcPr>
          <w:p>
            <w:r>
              <w:rPr>
                <w:color w:val="0F172A"/>
                <w:sz w:val="18"/>
              </w:rPr>
              <w:t>Privacy Impact, Dataminimalisatie, Rechten van Betrokkenen, RBAC &amp; TOM's</w:t>
            </w:r>
          </w:p>
        </w:tc>
      </w:tr>
      <w:tr>
        <w:tc>
          <w:tcPr>
            <w:tcW w:type="dxa" w:w="3118"/>
            <w:shd w:fill="F0F7FF"/>
            <w:tcMar>
              <w:top w:w="120" w:type="dxa"/>
              <w:bottom w:w="120" w:type="dxa"/>
              <w:left w:w="160" w:type="dxa"/>
              <w:right w:w="160" w:type="dxa"/>
            </w:tcMar>
          </w:tcPr>
          <w:p>
            <w:r>
              <w:rPr>
                <w:color w:val="0F172A"/>
                <w:sz w:val="18"/>
              </w:rPr>
              <w:t>Onderzochte Componenten</w:t>
            </w:r>
          </w:p>
        </w:tc>
        <w:tc>
          <w:tcPr>
            <w:tcW w:type="dxa" w:w="6236"/>
            <w:shd w:fill="F0F7FF"/>
            <w:tcMar>
              <w:top w:w="120" w:type="dxa"/>
              <w:bottom w:w="120" w:type="dxa"/>
              <w:left w:w="160" w:type="dxa"/>
              <w:right w:w="160" w:type="dxa"/>
            </w:tcMar>
          </w:tcPr>
          <w:p>
            <w:r>
              <w:rPr>
                <w:color w:val="0F172A"/>
                <w:sz w:val="18"/>
              </w:rPr>
              <w:t>Resultaat van het bezoek, Dynamische Permissiematrix (RBAC), 'Alleen eigen registraties tonen', Organisatiecommunicatie, Zelfbediening Vrijwilligersprofielen, AI Vraagclassificatie (Gemini)</w:t>
            </w:r>
          </w:p>
        </w:tc>
      </w:tr>
      <w:tr>
        <w:tc>
          <w:tcPr>
            <w:tcW w:type="dxa" w:w="3118"/>
            <w:shd w:fill="FFFFFF"/>
            <w:tcMar>
              <w:top w:w="120" w:type="dxa"/>
              <w:bottom w:w="120" w:type="dxa"/>
              <w:left w:w="160" w:type="dxa"/>
              <w:right w:w="160" w:type="dxa"/>
            </w:tcMar>
          </w:tcPr>
          <w:p>
            <w:r>
              <w:rPr>
                <w:color w:val="0F172A"/>
                <w:sz w:val="18"/>
              </w:rPr>
              <w:t>Geautomatiseerde Testsuite</w:t>
            </w:r>
          </w:p>
        </w:tc>
        <w:tc>
          <w:tcPr>
            <w:tcW w:type="dxa" w:w="6236"/>
            <w:shd w:fill="FFFFFF"/>
            <w:tcMar>
              <w:top w:w="120" w:type="dxa"/>
              <w:bottom w:w="120" w:type="dxa"/>
              <w:left w:w="160" w:type="dxa"/>
              <w:right w:w="160" w:type="dxa"/>
            </w:tcMar>
          </w:tcPr>
          <w:p>
            <w:r>
              <w:rPr>
                <w:color w:val="0F172A"/>
                <w:sz w:val="18"/>
              </w:rPr>
              <w:t>236 unittests over 32 suites uitgevoerd (100% geslaagd, multi-tenant &amp; privacy tests)</w:t>
            </w:r>
          </w:p>
        </w:tc>
      </w:tr>
      <w:tr>
        <w:tc>
          <w:tcPr>
            <w:tcW w:type="dxa" w:w="3118"/>
            <w:shd w:fill="F0F7FF"/>
            <w:tcMar>
              <w:top w:w="120" w:type="dxa"/>
              <w:bottom w:w="120" w:type="dxa"/>
              <w:left w:w="160" w:type="dxa"/>
              <w:right w:w="160" w:type="dxa"/>
            </w:tcMar>
          </w:tcPr>
          <w:p>
            <w:r>
              <w:rPr>
                <w:color w:val="0F172A"/>
                <w:sz w:val="18"/>
              </w:rPr>
              <w:t>Conformiteitsstatus</w:t>
            </w:r>
          </w:p>
        </w:tc>
        <w:tc>
          <w:tcPr>
            <w:tcW w:type="dxa" w:w="6236"/>
            <w:shd w:fill="F0F7FF"/>
            <w:tcMar>
              <w:top w:w="120" w:type="dxa"/>
              <w:bottom w:w="120" w:type="dxa"/>
              <w:left w:w="160" w:type="dxa"/>
              <w:right w:w="160" w:type="dxa"/>
            </w:tcMar>
          </w:tcPr>
          <w:p>
            <w:r>
              <w:rPr>
                <w:color w:val="0F172A"/>
                <w:sz w:val="18"/>
              </w:rPr>
              <w:t>CONFORM AVG / GDPR (Volledig goedgekeurd)</w:t>
            </w:r>
          </w:p>
        </w:tc>
      </w:tr>
    </w:tbl>
    <w:p>
      <w:pPr>
        <w:spacing w:after="120"/>
      </w:pPr>
    </w:p>
    <w:tbl>
      <w:tblPr>
        <w:tblW w:type="auto" w:w="0"/>
        <w:jc w:val="center"/>
        <w:tblLayout w:type="fixed"/>
        <w:tblLook w:firstColumn="1" w:firstRow="1" w:lastColumn="0" w:lastRow="0" w:noHBand="0" w:noVBand="1" w:val="04A0"/>
      </w:tblPr>
      <w:tblGrid>
        <w:gridCol w:w="9406"/>
      </w:tblGrid>
      <w:tr>
        <w:tc>
          <w:tcPr>
            <w:tcW w:type="dxa" w:w="9354"/>
            <w:shd w:fill="F0FDF4"/>
            <w:tcMar>
              <w:top w:w="160" w:type="dxa"/>
              <w:bottom w:w="160" w:type="dxa"/>
              <w:left w:w="220" w:type="dxa"/>
              <w:right w:w="200" w:type="dxa"/>
            </w:tcMar>
            <w:tcBorders>
              <w:top w:val="none"/>
              <w:left w:val="single" w:sz="36" w:space="0" w:color="15803D"/>
              <w:bottom w:val="none"/>
              <w:right w:val="none"/>
            </w:tcBorders>
          </w:tcPr>
          <w:p>
            <w:pPr>
              <w:spacing w:before="40" w:after="80"/>
            </w:pPr>
            <w:r>
              <w:rPr>
                <w:sz w:val="22"/>
              </w:rPr>
              <w:t xml:space="preserve">✅ </w:t>
            </w:r>
            <w:r>
              <w:rPr>
                <w:b/>
                <w:color w:val="15803D"/>
                <w:sz w:val="21"/>
              </w:rPr>
              <w:t>AVG / GDPR Conformiteitsverklaring</w:t>
            </w:r>
          </w:p>
          <w:p>
            <w:pPr>
              <w:spacing w:before="40" w:after="40" w:line="276" w:lineRule="auto"/>
            </w:pPr>
            <w:r>
              <w:rPr>
                <w:color w:val="0F172A"/>
                <w:sz w:val="19"/>
              </w:rPr>
              <w:t>Het Digidokters platform voldoet na de herhaalde audit van 9 oktober 2026 volledig aan alle vereisten van de Algemene Verordening Gegevensbescherming (AVG / GDPR). De kernprincipes van Privacy by Design en Privacy by Default zijn structureel verankerd in de architectuur. Zowel de historische verbeterpunten (GDPR-01 t/m GDPR-08) als alle recente toevoegingen (GDPR-09 t/m GDPR-13) zijn geverifieerd en waterdicht afgedekt.</w:t>
            </w:r>
          </w:p>
        </w:tc>
      </w:tr>
    </w:tbl>
    <w:p>
      <w:pPr>
        <w:spacing w:after="80"/>
      </w:pPr>
    </w:p>
    <w:p>
      <w:r>
        <w:br w:type="page"/>
      </w:r>
    </w:p>
    <w:p>
      <w:pPr>
        <w:keepNext/>
        <w:spacing w:before="360" w:after="160"/>
      </w:pPr>
      <w:r>
        <w:rPr>
          <w:b/>
          <w:color w:val="0F4C81"/>
          <w:sz w:val="32"/>
        </w:rPr>
        <w:t>1. Management Samenvatting (Executive Summary)</w:t>
      </w:r>
    </w:p>
    <w:p>
      <w:pPr>
        <w:spacing w:before="0" w:after="120" w:line="276" w:lineRule="auto"/>
      </w:pPr>
      <w:r>
        <w:rPr>
          <w:i w:val="0"/>
          <w:color w:val="0F172A"/>
          <w:sz w:val="20"/>
        </w:rPr>
        <w:t>Dit rapport bevat de officiële verslaglegging van de herhaalde GDPR / AVG (Algemene Verordening Gegevensbescherming) compliance audit van het Digidokters platform, uitgevoerd op 9 oktober 2026. Het doel van deze herhaalde audit is vast te stellen of alle recente software-uitbreidingen, nieuwe gegevensstromen, autorisatie-wijzigingen en de toevoeging van 'Resultaat van het bezoek' voldoen aan de strenge Europese privacywetgeving.</w:t>
      </w:r>
    </w:p>
    <w:p>
      <w:pPr>
        <w:spacing w:before="0" w:after="120" w:line="276" w:lineRule="auto"/>
      </w:pPr>
      <w:r>
        <w:rPr>
          <w:i w:val="0"/>
          <w:color w:val="0F172A"/>
          <w:sz w:val="20"/>
        </w:rPr>
        <w:t>Tijdens de audit zijn alle verwerkingsactiviteiten getoetst aan de zeven grondbeginselen van Art. 5 AVG, de rechten van betrokkenen (Art. 12-23 AVG) en de technische en organisatorische maatregelen (TOM's, Art. 32 AVG).</w:t>
      </w:r>
    </w:p>
    <w:p>
      <w:pPr>
        <w:keepNext/>
        <w:spacing w:before="280" w:after="120"/>
      </w:pPr>
      <w:r>
        <w:rPr>
          <w:b/>
          <w:color w:val="0284C7"/>
          <w:sz w:val="26"/>
        </w:rPr>
        <w:t>1.1 Samenvattende Conclusies per Deeldomein</w:t>
      </w:r>
    </w:p>
    <w:p>
      <w:pPr>
        <w:pStyle w:val="ListBullet"/>
        <w:spacing w:before="20" w:after="60" w:line="276" w:lineRule="auto"/>
      </w:pPr>
      <w:r>
        <w:rPr>
          <w:b/>
          <w:color w:val="0F172A"/>
          <w:sz w:val="20"/>
        </w:rPr>
        <w:t xml:space="preserve">1. Dataminimalisatie (Art. 5.1.c): </w:t>
      </w:r>
      <w:r>
        <w:rPr>
          <w:color w:val="0F172A"/>
          <w:sz w:val="20"/>
        </w:rPr>
        <w:t>Het platform hanteert strikte dataminimalisatie. Van bezoekers worden uitsluitend voornaam of initialen genoteerd. Het nieuwe gegeven 'Resultaat van het bezoek' registreert uitsluitend procesmatige uitkomsten (bijv. 'Vraag beantwoord', 'Bezoeker komt later terug') zonder enige persoonsgegevens of medische data.</w:t>
      </w:r>
    </w:p>
    <w:p>
      <w:pPr>
        <w:pStyle w:val="ListBullet"/>
        <w:spacing w:before="20" w:after="60" w:line="276" w:lineRule="auto"/>
      </w:pPr>
      <w:r>
        <w:rPr>
          <w:b/>
          <w:color w:val="0F172A"/>
          <w:sz w:val="20"/>
        </w:rPr>
        <w:t xml:space="preserve">2. Doelbinding &amp; Multi-Tenancy (Art. 5.1.b): </w:t>
      </w:r>
      <w:r>
        <w:rPr>
          <w:color w:val="0F172A"/>
          <w:sz w:val="20"/>
        </w:rPr>
        <w:t>Multi-tenant datamodellen en strikte organisatie_id-filtering op alle database-queries garanderen dat persoonsgegevens van vrijwilligers en consultaties van Organisatie A onder geen beding zichtbaar zijn voor gebruikers van Organisatie B.</w:t>
      </w:r>
    </w:p>
    <w:p>
      <w:pPr>
        <w:pStyle w:val="ListBullet"/>
        <w:spacing w:before="20" w:after="60" w:line="276" w:lineRule="auto"/>
      </w:pPr>
      <w:r>
        <w:rPr>
          <w:b/>
          <w:color w:val="0F172A"/>
          <w:sz w:val="20"/>
        </w:rPr>
        <w:t xml:space="preserve">3. Toegangsbeveiliging &amp; Privacy by Default (Art. 25 &amp; 32): </w:t>
      </w:r>
      <w:r>
        <w:rPr>
          <w:color w:val="0F172A"/>
          <w:sz w:val="20"/>
        </w:rPr>
        <w:t>Het nieuwe dynamische groepenmodel met een fijnmazige permissiematrix per module garandeert het principe van minimale privileges (Least Privilege). De speciale restrictie 'Alleen eigen registraties tonen' voorkomt dat vrijwilligers elkaars consultaties kunnen inzien.</w:t>
      </w:r>
    </w:p>
    <w:p>
      <w:pPr>
        <w:pStyle w:val="ListBullet"/>
        <w:spacing w:before="20" w:after="60" w:line="276" w:lineRule="auto"/>
      </w:pPr>
      <w:r>
        <w:rPr>
          <w:b/>
          <w:color w:val="0F172A"/>
          <w:sz w:val="20"/>
        </w:rPr>
        <w:t xml:space="preserve">4. Opslagbeperking &amp; Retentiebeheer (Art. 5.1.e): </w:t>
      </w:r>
      <w:r>
        <w:rPr>
          <w:color w:val="0F172A"/>
          <w:sz w:val="20"/>
        </w:rPr>
        <w:t>Het Grootvader-Vader-Zoon (GFS) retentiesysteem op database-backups verwijdert automatisch verouderde productiedumps (7d / 4w / 2m). Wachtwoordherstelcodes vervallen na 30 minuten en auditlogs kunnen geordend worden opgeschoond.</w:t>
      </w:r>
    </w:p>
    <w:p>
      <w:pPr>
        <w:pStyle w:val="ListBullet"/>
        <w:spacing w:before="20" w:after="60" w:line="276" w:lineRule="auto"/>
      </w:pPr>
      <w:r>
        <w:rPr>
          <w:b/>
          <w:color w:val="0F172A"/>
          <w:sz w:val="20"/>
        </w:rPr>
        <w:t xml:space="preserve">5. Recht op Rectificatie (Art. 16): </w:t>
      </w:r>
      <w:r>
        <w:rPr>
          <w:color w:val="0F172A"/>
          <w:sz w:val="20"/>
        </w:rPr>
        <w:t>Gebruikers en digidokters kunnen via de zelfbedieningsmodule hun eigen contactgegevens (telefoon, e-mail) en functies direct corrigeren. Auteurs van evaluaties kunnen ingediende feedback aanpassen.</w:t>
      </w:r>
    </w:p>
    <w:p>
      <w:pPr>
        <w:pStyle w:val="ListBullet"/>
        <w:spacing w:before="20" w:after="60" w:line="276" w:lineRule="auto"/>
      </w:pPr>
      <w:r>
        <w:rPr>
          <w:b/>
          <w:color w:val="0F172A"/>
          <w:sz w:val="20"/>
        </w:rPr>
        <w:t xml:space="preserve">6. Transparantie &amp; Communicatiebeveiliging (Art. 5.1.a &amp; 32): </w:t>
      </w:r>
      <w:r>
        <w:rPr>
          <w:color w:val="0F172A"/>
          <w:sz w:val="20"/>
        </w:rPr>
        <w:t>De interne communicatiemodule is voorzien van doelgroepvalidatie, een proefmail-functie ([PROEFMAIL]) en transparante verzendhistoriek met strikte tenant-isolatie.</w:t>
      </w:r>
    </w:p>
    <w:p>
      <w:pPr>
        <w:keepNext/>
        <w:spacing w:before="360" w:after="160"/>
      </w:pPr>
      <w:r>
        <w:rPr>
          <w:b/>
          <w:color w:val="0F4C81"/>
          <w:sz w:val="32"/>
        </w:rPr>
        <w:t>2. Verwerkingscontext &amp; Categorieën Persoonsgegevens</w:t>
      </w:r>
    </w:p>
    <w:p>
      <w:pPr>
        <w:spacing w:before="0" w:after="120" w:line="276" w:lineRule="auto"/>
      </w:pPr>
      <w:r>
        <w:rPr>
          <w:i w:val="0"/>
          <w:color w:val="0F172A"/>
          <w:sz w:val="20"/>
        </w:rPr>
        <w:t>Digidokters fungeert als digitaal platform ter ondersteuning van lokale besturen (gemeenten, steden, bibliotheken en welzijnsverenigingen) bij het organiseren en registreren van digitale hulpverlening (Digipunten).</w:t>
      </w:r>
    </w:p>
    <w:p>
      <w:pPr>
        <w:keepNext/>
        <w:spacing w:before="280" w:after="120"/>
      </w:pPr>
      <w:r>
        <w:rPr>
          <w:b/>
          <w:color w:val="0284C7"/>
          <w:sz w:val="26"/>
        </w:rPr>
        <w:t>2.1 Rollen onder de AVG</w:t>
      </w:r>
    </w:p>
    <w:p>
      <w:pPr>
        <w:pStyle w:val="ListBullet"/>
        <w:spacing w:before="20" w:after="60" w:line="276" w:lineRule="auto"/>
      </w:pPr>
      <w:r>
        <w:rPr>
          <w:b/>
          <w:color w:val="0F172A"/>
          <w:sz w:val="20"/>
        </w:rPr>
        <w:t xml:space="preserve">Verwerkingsverantwoordelijke: </w:t>
      </w:r>
      <w:r>
        <w:rPr>
          <w:color w:val="0F172A"/>
          <w:sz w:val="20"/>
        </w:rPr>
        <w:t>De deelnemende gemeente of partnerorganisatie bepaalt het doel en de middelen van de gegevensverwerking binnen haar eigen werking en is de Verwerkingsverantwoordelijke (Data Controller).</w:t>
      </w:r>
    </w:p>
    <w:p>
      <w:pPr>
        <w:pStyle w:val="ListBullet"/>
        <w:spacing w:before="20" w:after="60" w:line="276" w:lineRule="auto"/>
      </w:pPr>
      <w:r>
        <w:rPr>
          <w:b/>
          <w:color w:val="0F172A"/>
          <w:sz w:val="20"/>
        </w:rPr>
        <w:t xml:space="preserve">Verwerker: </w:t>
      </w:r>
      <w:r>
        <w:rPr>
          <w:color w:val="0F172A"/>
          <w:sz w:val="20"/>
        </w:rPr>
        <w:t>Het Digidokters platform en de hostende infrastructuur faciliteren de veilige verwerking en treden op als Verwerker (Data Processor).</w:t>
      </w:r>
    </w:p>
    <w:p>
      <w:pPr>
        <w:keepNext/>
        <w:spacing w:before="280" w:after="120"/>
      </w:pPr>
      <w:r>
        <w:rPr>
          <w:b/>
          <w:color w:val="0284C7"/>
          <w:sz w:val="26"/>
        </w:rPr>
        <w:t>2.2 Overzicht van Verwerkte Persoonsgegevens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2351"/>
        <w:gridCol w:w="2351"/>
        <w:gridCol w:w="2351"/>
        <w:gridCol w:w="2351"/>
      </w:tblGrid>
      <w:tr>
        <w:tc>
          <w:tcPr>
            <w:tcW w:type="dxa" w:w="1984"/>
            <w:shd w:fill="0F4C81"/>
            <w:tcMar>
              <w:top w:w="160" w:type="dxa"/>
              <w:bottom w:w="160" w:type="dxa"/>
              <w:left w:w="180" w:type="dxa"/>
              <w:right w:w="180" w:type="dxa"/>
            </w:tcMar>
          </w:tcPr>
          <w:p>
            <w:pPr>
              <w:jc w:val="left"/>
            </w:pPr>
            <w:r>
              <w:rPr>
                <w:b/>
                <w:color w:val="FFFFFF"/>
                <w:sz w:val="19"/>
              </w:rPr>
              <w:t>Betrokkene</w:t>
            </w:r>
          </w:p>
        </w:tc>
        <w:tc>
          <w:tcPr>
            <w:tcW w:type="dxa" w:w="2721"/>
            <w:shd w:fill="0F4C81"/>
            <w:tcMar>
              <w:top w:w="160" w:type="dxa"/>
              <w:bottom w:w="160" w:type="dxa"/>
              <w:left w:w="180" w:type="dxa"/>
              <w:right w:w="180" w:type="dxa"/>
            </w:tcMar>
          </w:tcPr>
          <w:p>
            <w:pPr>
              <w:jc w:val="left"/>
            </w:pPr>
            <w:r>
              <w:rPr>
                <w:b/>
                <w:color w:val="FFFFFF"/>
                <w:sz w:val="19"/>
              </w:rPr>
              <w:t>Verwerkte Gegevens</w:t>
            </w:r>
          </w:p>
        </w:tc>
        <w:tc>
          <w:tcPr>
            <w:tcW w:type="dxa" w:w="2551"/>
            <w:shd w:fill="0F4C81"/>
            <w:tcMar>
              <w:top w:w="160" w:type="dxa"/>
              <w:bottom w:w="160" w:type="dxa"/>
              <w:left w:w="180" w:type="dxa"/>
              <w:right w:w="180" w:type="dxa"/>
            </w:tcMar>
          </w:tcPr>
          <w:p>
            <w:pPr>
              <w:jc w:val="left"/>
            </w:pPr>
            <w:r>
              <w:rPr>
                <w:b/>
                <w:color w:val="FFFFFF"/>
                <w:sz w:val="19"/>
              </w:rPr>
              <w:t>Verwerkingsdoel</w:t>
            </w:r>
          </w:p>
        </w:tc>
        <w:tc>
          <w:tcPr>
            <w:tcW w:type="dxa" w:w="2098"/>
            <w:shd w:fill="0F4C81"/>
            <w:tcMar>
              <w:top w:w="160" w:type="dxa"/>
              <w:bottom w:w="160" w:type="dxa"/>
              <w:left w:w="180" w:type="dxa"/>
              <w:right w:w="180" w:type="dxa"/>
            </w:tcMar>
          </w:tcPr>
          <w:p>
            <w:pPr>
              <w:jc w:val="left"/>
            </w:pPr>
            <w:r>
              <w:rPr>
                <w:b/>
                <w:color w:val="FFFFFF"/>
                <w:sz w:val="19"/>
              </w:rPr>
              <w:t>Rechtsgrond (Art. 6)</w:t>
            </w:r>
          </w:p>
        </w:tc>
      </w:tr>
      <w:tr>
        <w:tc>
          <w:tcPr>
            <w:tcW w:type="dxa" w:w="1984"/>
            <w:shd w:fill="FFFFFF"/>
            <w:tcMar>
              <w:top w:w="120" w:type="dxa"/>
              <w:bottom w:w="120" w:type="dxa"/>
              <w:left w:w="160" w:type="dxa"/>
              <w:right w:w="160" w:type="dxa"/>
            </w:tcMar>
          </w:tcPr>
          <w:p>
            <w:r>
              <w:rPr>
                <w:color w:val="0F172A"/>
                <w:sz w:val="18"/>
              </w:rPr>
              <w:t>Bezoekers (Burgers)</w:t>
            </w:r>
          </w:p>
        </w:tc>
        <w:tc>
          <w:tcPr>
            <w:tcW w:type="dxa" w:w="2721"/>
            <w:shd w:fill="FFFFFF"/>
            <w:tcMar>
              <w:top w:w="120" w:type="dxa"/>
              <w:bottom w:w="120" w:type="dxa"/>
              <w:left w:w="160" w:type="dxa"/>
              <w:right w:w="160" w:type="dxa"/>
            </w:tcMar>
          </w:tcPr>
          <w:p>
            <w:r>
              <w:rPr>
                <w:color w:val="0F172A"/>
                <w:sz w:val="18"/>
              </w:rPr>
              <w:t>Voornaam of initialen, leeftijdscategorie (geaggregeerd), digitaal toesteltype, vraagomschrijving (anoniem), resultaat van het bezoek, herkomstbron, geslacht/gender.</w:t>
            </w:r>
          </w:p>
        </w:tc>
        <w:tc>
          <w:tcPr>
            <w:tcW w:type="dxa" w:w="2551"/>
            <w:shd w:fill="FFFFFF"/>
            <w:tcMar>
              <w:top w:w="120" w:type="dxa"/>
              <w:bottom w:w="120" w:type="dxa"/>
              <w:left w:w="160" w:type="dxa"/>
              <w:right w:w="160" w:type="dxa"/>
            </w:tcMar>
          </w:tcPr>
          <w:p>
            <w:r>
              <w:rPr>
                <w:color w:val="0F172A"/>
                <w:sz w:val="18"/>
              </w:rPr>
              <w:t>Registratie van hulpvragen, monitoring van de werking, opstellen van geaggregeerde gemeentelijke werkingsrapporten.</w:t>
            </w:r>
          </w:p>
        </w:tc>
        <w:tc>
          <w:tcPr>
            <w:tcW w:type="dxa" w:w="2098"/>
            <w:shd w:fill="FFFFFF"/>
            <w:tcMar>
              <w:top w:w="120" w:type="dxa"/>
              <w:bottom w:w="120" w:type="dxa"/>
              <w:left w:w="160" w:type="dxa"/>
              <w:right w:w="160" w:type="dxa"/>
            </w:tcMar>
          </w:tcPr>
          <w:p>
            <w:r>
              <w:rPr>
                <w:color w:val="0F172A"/>
                <w:sz w:val="18"/>
              </w:rPr>
              <w:t>Gerechtvaardigd belang / Taak van algemeen belang (Art. 6.1.e/f)</w:t>
            </w:r>
          </w:p>
        </w:tc>
      </w:tr>
      <w:tr>
        <w:tc>
          <w:tcPr>
            <w:tcW w:type="dxa" w:w="1984"/>
            <w:shd w:fill="F0F7FF"/>
            <w:tcMar>
              <w:top w:w="120" w:type="dxa"/>
              <w:bottom w:w="120" w:type="dxa"/>
              <w:left w:w="160" w:type="dxa"/>
              <w:right w:w="160" w:type="dxa"/>
            </w:tcMar>
          </w:tcPr>
          <w:p>
            <w:r>
              <w:rPr>
                <w:color w:val="0F172A"/>
                <w:sz w:val="18"/>
              </w:rPr>
              <w:t>Digidokters (Vrijwilligers)</w:t>
            </w:r>
          </w:p>
        </w:tc>
        <w:tc>
          <w:tcPr>
            <w:tcW w:type="dxa" w:w="2721"/>
            <w:shd w:fill="F0F7FF"/>
            <w:tcMar>
              <w:top w:w="120" w:type="dxa"/>
              <w:bottom w:w="120" w:type="dxa"/>
              <w:left w:w="160" w:type="dxa"/>
              <w:right w:w="160" w:type="dxa"/>
            </w:tcMar>
          </w:tcPr>
          <w:p>
            <w:r>
              <w:rPr>
                <w:color w:val="0F172A"/>
                <w:sz w:val="18"/>
              </w:rPr>
              <w:t>Naam, e-mailadres, telefoonnummer, toegekende functies (Digidokter, Digihelper, Lesgever), gekoppelde sessies, evaluatieresultaten.</w:t>
            </w:r>
          </w:p>
        </w:tc>
        <w:tc>
          <w:tcPr>
            <w:tcW w:type="dxa" w:w="2551"/>
            <w:shd w:fill="F0F7FF"/>
            <w:tcMar>
              <w:top w:w="120" w:type="dxa"/>
              <w:bottom w:w="120" w:type="dxa"/>
              <w:left w:w="160" w:type="dxa"/>
              <w:right w:w="160" w:type="dxa"/>
            </w:tcMar>
          </w:tcPr>
          <w:p>
            <w:r>
              <w:rPr>
                <w:color w:val="0F172A"/>
                <w:sz w:val="18"/>
              </w:rPr>
              <w:t>Planning van sessies in de agenda, interne communicatie, uitnodigingen voor kwaliteitsmeting en evaluatie.</w:t>
            </w:r>
          </w:p>
        </w:tc>
        <w:tc>
          <w:tcPr>
            <w:tcW w:type="dxa" w:w="2098"/>
            <w:shd w:fill="F0F7FF"/>
            <w:tcMar>
              <w:top w:w="120" w:type="dxa"/>
              <w:bottom w:w="120" w:type="dxa"/>
              <w:left w:w="160" w:type="dxa"/>
              <w:right w:w="160" w:type="dxa"/>
            </w:tcMar>
          </w:tcPr>
          <w:p>
            <w:r>
              <w:rPr>
                <w:color w:val="0F172A"/>
                <w:sz w:val="18"/>
              </w:rPr>
              <w:t>Uitvoering van de overeenkomst / Vrijwilligersstatuut (Art. 6.1.b)</w:t>
            </w:r>
          </w:p>
        </w:tc>
      </w:tr>
      <w:tr>
        <w:tc>
          <w:tcPr>
            <w:tcW w:type="dxa" w:w="1984"/>
            <w:shd w:fill="FFFFFF"/>
            <w:tcMar>
              <w:top w:w="120" w:type="dxa"/>
              <w:bottom w:w="120" w:type="dxa"/>
              <w:left w:w="160" w:type="dxa"/>
              <w:right w:w="160" w:type="dxa"/>
            </w:tcMar>
          </w:tcPr>
          <w:p>
            <w:r>
              <w:rPr>
                <w:color w:val="0F172A"/>
                <w:sz w:val="18"/>
              </w:rPr>
              <w:t>Medewerkers &amp; Beheerders</w:t>
            </w:r>
          </w:p>
        </w:tc>
        <w:tc>
          <w:tcPr>
            <w:tcW w:type="dxa" w:w="2721"/>
            <w:shd w:fill="FFFFFF"/>
            <w:tcMar>
              <w:top w:w="120" w:type="dxa"/>
              <w:bottom w:w="120" w:type="dxa"/>
              <w:left w:w="160" w:type="dxa"/>
              <w:right w:w="160" w:type="dxa"/>
            </w:tcMar>
          </w:tcPr>
          <w:p>
            <w:r>
              <w:rPr>
                <w:color w:val="0F172A"/>
                <w:sz w:val="18"/>
              </w:rPr>
              <w:t>Naam, zakelijk e-mailadres, telefoonnummer, versleuteld wachtwoord (Scrypt hash), autorisatiegroepen &amp; permissies, logintijdstip.</w:t>
            </w:r>
          </w:p>
        </w:tc>
        <w:tc>
          <w:tcPr>
            <w:tcW w:type="dxa" w:w="2551"/>
            <w:shd w:fill="FFFFFF"/>
            <w:tcMar>
              <w:top w:w="120" w:type="dxa"/>
              <w:bottom w:w="120" w:type="dxa"/>
              <w:left w:w="160" w:type="dxa"/>
              <w:right w:w="160" w:type="dxa"/>
            </w:tcMar>
          </w:tcPr>
          <w:p>
            <w:r>
              <w:rPr>
                <w:color w:val="0F172A"/>
                <w:sz w:val="18"/>
              </w:rPr>
              <w:t>Toegangsbeheer, authenticatie, autorisatie, organisatiebeheer en beveiligingsaudits.</w:t>
            </w:r>
          </w:p>
        </w:tc>
        <w:tc>
          <w:tcPr>
            <w:tcW w:type="dxa" w:w="2098"/>
            <w:shd w:fill="FFFFFF"/>
            <w:tcMar>
              <w:top w:w="120" w:type="dxa"/>
              <w:bottom w:w="120" w:type="dxa"/>
              <w:left w:w="160" w:type="dxa"/>
              <w:right w:w="160" w:type="dxa"/>
            </w:tcMar>
          </w:tcPr>
          <w:p>
            <w:r>
              <w:rPr>
                <w:color w:val="0F172A"/>
                <w:sz w:val="18"/>
              </w:rPr>
              <w:t>Uitvoering van de overeenkomst / Gerechtvaardigd belang (Art. 6.1.b/f)</w:t>
            </w:r>
          </w:p>
        </w:tc>
      </w:tr>
      <w:tr>
        <w:tc>
          <w:tcPr>
            <w:tcW w:type="dxa" w:w="1984"/>
            <w:shd w:fill="F0F7FF"/>
            <w:tcMar>
              <w:top w:w="120" w:type="dxa"/>
              <w:bottom w:w="120" w:type="dxa"/>
              <w:left w:w="160" w:type="dxa"/>
              <w:right w:w="160" w:type="dxa"/>
            </w:tcMar>
          </w:tcPr>
          <w:p>
            <w:r>
              <w:rPr>
                <w:color w:val="0F172A"/>
                <w:sz w:val="18"/>
              </w:rPr>
              <w:t>Communicatie &amp; Logs</w:t>
            </w:r>
          </w:p>
        </w:tc>
        <w:tc>
          <w:tcPr>
            <w:tcW w:type="dxa" w:w="2721"/>
            <w:shd w:fill="F0F7FF"/>
            <w:tcMar>
              <w:top w:w="120" w:type="dxa"/>
              <w:bottom w:w="120" w:type="dxa"/>
              <w:left w:w="160" w:type="dxa"/>
              <w:right w:w="160" w:type="dxa"/>
            </w:tcMar>
          </w:tcPr>
          <w:p>
            <w:r>
              <w:rPr>
                <w:color w:val="0F172A"/>
                <w:sz w:val="18"/>
              </w:rPr>
              <w:t>Verzonden e-mailhistoriek (onderwerp, tekst, ontvangerslijst-snapshot), audit logs van mutaties (oude vs. nieuwe waarden).</w:t>
            </w:r>
          </w:p>
        </w:tc>
        <w:tc>
          <w:tcPr>
            <w:tcW w:type="dxa" w:w="2551"/>
            <w:shd w:fill="F0F7FF"/>
            <w:tcMar>
              <w:top w:w="120" w:type="dxa"/>
              <w:bottom w:w="120" w:type="dxa"/>
              <w:left w:w="160" w:type="dxa"/>
              <w:right w:w="160" w:type="dxa"/>
            </w:tcMar>
          </w:tcPr>
          <w:p>
            <w:r>
              <w:rPr>
                <w:color w:val="0F172A"/>
                <w:sz w:val="18"/>
              </w:rPr>
              <w:t>Verantwoording, transparantie, interne opvolging en forensische auditering conform AVG-verplichtingen.</w:t>
            </w:r>
          </w:p>
        </w:tc>
        <w:tc>
          <w:tcPr>
            <w:tcW w:type="dxa" w:w="2098"/>
            <w:shd w:fill="F0F7FF"/>
            <w:tcMar>
              <w:top w:w="120" w:type="dxa"/>
              <w:bottom w:w="120" w:type="dxa"/>
              <w:left w:w="160" w:type="dxa"/>
              <w:right w:w="160" w:type="dxa"/>
            </w:tcMar>
          </w:tcPr>
          <w:p>
            <w:r>
              <w:rPr>
                <w:color w:val="0F172A"/>
                <w:sz w:val="18"/>
              </w:rPr>
              <w:t>Wettelijke verplichting / Gerechtvaardigd belang (Art. 6.1.c/f)</w:t>
            </w:r>
          </w:p>
        </w:tc>
      </w:tr>
    </w:tbl>
    <w:p>
      <w:pPr>
        <w:spacing w:after="120"/>
      </w:pPr>
    </w:p>
    <w:p>
      <w:pPr>
        <w:keepNext/>
        <w:spacing w:before="360" w:after="160"/>
      </w:pPr>
      <w:r>
        <w:rPr>
          <w:b/>
          <w:color w:val="0F4C81"/>
          <w:sz w:val="32"/>
        </w:rPr>
        <w:t>3. Toetsing aan de AVG Basisbeginselen (Art. 5 AVG)</w:t>
      </w:r>
    </w:p>
    <w:p>
      <w:pPr>
        <w:keepNext/>
        <w:spacing w:before="280" w:after="120"/>
      </w:pPr>
      <w:r>
        <w:rPr>
          <w:b/>
          <w:color w:val="0284C7"/>
          <w:sz w:val="26"/>
        </w:rPr>
        <w:t>3.1 Rechtmatigheid, Behoorlijkheid en Transparantie (Art. 5.1.a)</w:t>
      </w:r>
    </w:p>
    <w:p>
      <w:pPr>
        <w:spacing w:before="0" w:after="120" w:line="276" w:lineRule="auto"/>
      </w:pPr>
      <w:r>
        <w:rPr>
          <w:i w:val="0"/>
          <w:color w:val="0F172A"/>
          <w:sz w:val="20"/>
        </w:rPr>
        <w:t>De gegevensverwerking steunt op legitieme rechtsgronden. Betrokkenen worden op duidelijke en begrijpelijke wijze geïnformeerd:</w:t>
      </w:r>
    </w:p>
    <w:p>
      <w:pPr>
        <w:pStyle w:val="ListBullet"/>
        <w:spacing w:before="20" w:after="60" w:line="276" w:lineRule="auto"/>
      </w:pPr>
      <w:r>
        <w:rPr>
          <w:b/>
          <w:color w:val="0F172A"/>
          <w:sz w:val="20"/>
        </w:rPr>
        <w:t xml:space="preserve">Centrale Privacy Modal: </w:t>
      </w:r>
      <w:r>
        <w:rPr>
          <w:color w:val="0F172A"/>
          <w:sz w:val="20"/>
        </w:rPr>
        <w:t>In het hoofdmenu is via de rubriek 'Algemeen &gt; Privacy &amp; AVG' een centrale modal beschikbaar met toelichting op de 6 verwerkingsthema's conform Art. 12 en 13 AVG.</w:t>
      </w:r>
    </w:p>
    <w:p>
      <w:pPr>
        <w:pStyle w:val="ListBullet"/>
        <w:spacing w:before="20" w:after="60" w:line="276" w:lineRule="auto"/>
      </w:pPr>
      <w:r>
        <w:rPr>
          <w:b/>
          <w:color w:val="0F172A"/>
          <w:sz w:val="20"/>
        </w:rPr>
        <w:t xml:space="preserve">Evaluatieformulier Transparantie: </w:t>
      </w:r>
      <w:r>
        <w:rPr>
          <w:color w:val="0F172A"/>
          <w:sz w:val="20"/>
        </w:rPr>
        <w:t>Op het publieke evaluatieformulier (templates/evaluaties/invullen.html) staat een expliciete Art. 13 transparantieverklaring over het doel van de evaluatie.</w:t>
      </w:r>
    </w:p>
    <w:p>
      <w:pPr>
        <w:pStyle w:val="ListBullet"/>
        <w:spacing w:before="20" w:after="60" w:line="276" w:lineRule="auto"/>
      </w:pPr>
      <w:r>
        <w:rPr>
          <w:b/>
          <w:color w:val="0F172A"/>
          <w:sz w:val="20"/>
        </w:rPr>
        <w:t xml:space="preserve">Invoerinstructies Balieformulier: </w:t>
      </w:r>
      <w:r>
        <w:rPr>
          <w:color w:val="0F172A"/>
          <w:sz w:val="20"/>
        </w:rPr>
        <w:t>In het registratieformulier ('Nieuw bezoek') staan expliciete richtlijnen over dataminimalisatie en anonieme omschrijving van vragen.</w:t>
      </w:r>
    </w:p>
    <w:p>
      <w:pPr>
        <w:pStyle w:val="ListBullet"/>
        <w:spacing w:before="20" w:after="60" w:line="276" w:lineRule="auto"/>
      </w:pPr>
      <w:r>
        <w:rPr>
          <w:b/>
          <w:color w:val="0F172A"/>
          <w:sz w:val="20"/>
        </w:rPr>
        <w:t xml:space="preserve">Communicatietransparantie: </w:t>
      </w:r>
      <w:r>
        <w:rPr>
          <w:color w:val="0F172A"/>
          <w:sz w:val="20"/>
        </w:rPr>
        <w:t>Bij het versturen van interne communicatie toont de interface exact wie en hoeveel gebruikers het bericht zullen ontvangen.</w:t>
      </w:r>
    </w:p>
    <w:p>
      <w:pPr>
        <w:keepNext/>
        <w:spacing w:before="280" w:after="120"/>
      </w:pPr>
      <w:r>
        <w:rPr>
          <w:b/>
          <w:color w:val="0284C7"/>
          <w:sz w:val="26"/>
        </w:rPr>
        <w:t>3.2 Doelbinding (Art. 5.1.b)</w:t>
      </w:r>
    </w:p>
    <w:p>
      <w:pPr>
        <w:spacing w:before="0" w:after="120" w:line="276" w:lineRule="auto"/>
      </w:pPr>
      <w:r>
        <w:rPr>
          <w:i w:val="0"/>
          <w:color w:val="0F172A"/>
          <w:sz w:val="20"/>
        </w:rPr>
        <w:t>Gegevens worden uitsluitend verzameld voor vooraf vastgestelde, uitdrukkelijk omschreven en gerechtvaardigde doeleinden (sessiebeheer, hulpverleningsstatistieken, planning en kwaliteitsverbetering). Doelverschuiving is uitgesloten.</w:t>
      </w:r>
    </w:p>
    <w:p>
      <w:pPr>
        <w:keepNext/>
        <w:spacing w:before="280" w:after="120"/>
      </w:pPr>
      <w:r>
        <w:rPr>
          <w:b/>
          <w:color w:val="0284C7"/>
          <w:sz w:val="26"/>
        </w:rPr>
        <w:t>3.3 Dataminimalisatie (Art. 5.1.c)</w:t>
      </w:r>
    </w:p>
    <w:p>
      <w:pPr>
        <w:spacing w:before="0" w:after="120" w:line="276" w:lineRule="auto"/>
      </w:pPr>
      <w:r>
        <w:rPr>
          <w:i w:val="0"/>
          <w:color w:val="0F172A"/>
          <w:sz w:val="20"/>
        </w:rPr>
        <w:t>Het platform verwerkt uitsluitend gegevens die toereikend, ter zake dienend en beperkt zijn tot wat noodzakelijk is:</w:t>
      </w:r>
    </w:p>
    <w:p>
      <w:pPr>
        <w:pStyle w:val="ListBullet"/>
        <w:spacing w:before="20" w:after="60" w:line="276" w:lineRule="auto"/>
      </w:pPr>
      <w:r>
        <w:rPr>
          <w:b/>
          <w:color w:val="0F172A"/>
          <w:sz w:val="20"/>
        </w:rPr>
        <w:t xml:space="preserve">Bezoekersgegevens: </w:t>
      </w:r>
      <w:r>
        <w:rPr>
          <w:color w:val="0F172A"/>
          <w:sz w:val="20"/>
        </w:rPr>
        <w:t>Bij bezoekersregistraties wordt in de interface en in de validatielaag afgedwongen dat uitsluitend een voornaam of initialen worden ingevoerd (geen achternamen of identificatienummers).</w:t>
      </w:r>
    </w:p>
    <w:p>
      <w:pPr>
        <w:pStyle w:val="ListBullet"/>
        <w:spacing w:before="20" w:after="60" w:line="276" w:lineRule="auto"/>
      </w:pPr>
      <w:r>
        <w:rPr>
          <w:b/>
          <w:color w:val="0F172A"/>
          <w:sz w:val="20"/>
        </w:rPr>
        <w:t xml:space="preserve">Resultaatregistratie: </w:t>
      </w:r>
      <w:r>
        <w:rPr>
          <w:color w:val="0F172A"/>
          <w:sz w:val="20"/>
        </w:rPr>
        <w:t>Het nieuwe gegeven 'Resultaat van het bezoek' bevat uitsluitend generieke processtatussen (bijv. 'Vraag beantwoord', 'Bezoeker doorverwezen', 'Vraag onmogelijk te beantwoorden') zonder persoonskenmerken.</w:t>
      </w:r>
    </w:p>
    <w:p>
      <w:pPr>
        <w:pStyle w:val="ListBullet"/>
        <w:spacing w:before="20" w:after="60" w:line="276" w:lineRule="auto"/>
      </w:pPr>
      <w:r>
        <w:rPr>
          <w:b/>
          <w:color w:val="0F172A"/>
          <w:sz w:val="20"/>
        </w:rPr>
        <w:t xml:space="preserve">Uitsluiting Bijzondere Categorieën: </w:t>
      </w:r>
      <w:r>
        <w:rPr>
          <w:color w:val="0F172A"/>
          <w:sz w:val="20"/>
        </w:rPr>
        <w:t>Er worden geen rijksregisternummers, geboortedata, exacte woonadressen, financiële of medische gegevens geregistreerd.</w:t>
      </w:r>
    </w:p>
    <w:p>
      <w:pPr>
        <w:keepNext/>
        <w:spacing w:before="280" w:after="120"/>
      </w:pPr>
      <w:r>
        <w:rPr>
          <w:b/>
          <w:color w:val="0284C7"/>
          <w:sz w:val="26"/>
        </w:rPr>
        <w:t>3.4 Juistheid &amp; Kwaliteit (Art. 5.1.d)</w:t>
      </w:r>
    </w:p>
    <w:p>
      <w:pPr>
        <w:spacing w:before="0" w:after="120" w:line="276" w:lineRule="auto"/>
      </w:pPr>
      <w:r>
        <w:rPr>
          <w:i w:val="0"/>
          <w:color w:val="0F172A"/>
          <w:sz w:val="20"/>
        </w:rPr>
        <w:t>Beheerders en gebruikers kunnen gegevens te allen tijde corrigeren via de beheerinterfaces:</w:t>
      </w:r>
    </w:p>
    <w:p>
      <w:pPr>
        <w:pStyle w:val="ListBullet"/>
        <w:spacing w:before="20" w:after="60" w:line="276" w:lineRule="auto"/>
      </w:pPr>
      <w:r>
        <w:rPr>
          <w:b/>
          <w:color w:val="0F172A"/>
          <w:sz w:val="20"/>
        </w:rPr>
        <w:t xml:space="preserve">Zelfbediening Profiel: </w:t>
      </w:r>
      <w:r>
        <w:rPr>
          <w:color w:val="0F172A"/>
          <w:sz w:val="20"/>
        </w:rPr>
        <w:t>Gebruikers en digidokters kunnen via de zelfbedieningspagina linksonder direct hun eigen contactgegevens (telefoon, e-mail) en actieve vrijwilligersfuncties bijwerken.</w:t>
      </w:r>
    </w:p>
    <w:p>
      <w:pPr>
        <w:pStyle w:val="ListBullet"/>
        <w:spacing w:before="20" w:after="60" w:line="276" w:lineRule="auto"/>
      </w:pPr>
      <w:r>
        <w:rPr>
          <w:b/>
          <w:color w:val="0F172A"/>
          <w:sz w:val="20"/>
        </w:rPr>
        <w:t xml:space="preserve">Evaluatierectificatie: </w:t>
      </w:r>
      <w:r>
        <w:rPr>
          <w:color w:val="0F172A"/>
          <w:sz w:val="20"/>
        </w:rPr>
        <w:t>Digidokters en auteurs kunnen eerder ingediende evaluatiereacties rechtstreeks corrigeren.</w:t>
      </w:r>
    </w:p>
    <w:p>
      <w:pPr>
        <w:keepNext/>
        <w:spacing w:before="280" w:after="120"/>
      </w:pPr>
      <w:r>
        <w:rPr>
          <w:b/>
          <w:color w:val="0284C7"/>
          <w:sz w:val="26"/>
        </w:rPr>
        <w:t>3.5 Opslagbeperking &amp; Bewaartermijnen (Art. 5.1.e)</w:t>
      </w:r>
    </w:p>
    <w:p>
      <w:pPr>
        <w:spacing w:before="0" w:after="120" w:line="276" w:lineRule="auto"/>
      </w:pPr>
      <w:r>
        <w:rPr>
          <w:i w:val="0"/>
          <w:color w:val="0F172A"/>
          <w:sz w:val="20"/>
        </w:rPr>
        <w:t>Persoonsgegevens worden niet langer bewaard dan noodzakelijk:</w:t>
      </w:r>
    </w:p>
    <w:p>
      <w:pPr>
        <w:pStyle w:val="ListBullet"/>
        <w:spacing w:before="20" w:after="60" w:line="276" w:lineRule="auto"/>
      </w:pPr>
      <w:r>
        <w:rPr>
          <w:b/>
          <w:color w:val="0F172A"/>
          <w:sz w:val="20"/>
        </w:rPr>
        <w:t xml:space="preserve">Database Backup Retentie: </w:t>
      </w:r>
      <w:r>
        <w:rPr>
          <w:color w:val="0F172A"/>
          <w:sz w:val="20"/>
        </w:rPr>
        <w:t>Het script scripts/sync_productie_naar_lokaal.py implementeert een strikt GFS-retentieschema (7 dagelijkse, 4 wekelijkse, 2 maandelijkse dumps). Oudere dumps worden automatisch gewist.</w:t>
      </w:r>
    </w:p>
    <w:p>
      <w:pPr>
        <w:pStyle w:val="ListBullet"/>
        <w:spacing w:before="20" w:after="60" w:line="276" w:lineRule="auto"/>
      </w:pPr>
      <w:r>
        <w:rPr>
          <w:b/>
          <w:color w:val="0F172A"/>
          <w:sz w:val="20"/>
        </w:rPr>
        <w:t xml:space="preserve">Tijdelijke Tokens: </w:t>
      </w:r>
      <w:r>
        <w:rPr>
          <w:color w:val="0F172A"/>
          <w:sz w:val="20"/>
        </w:rPr>
        <w:t>Wachtwoordherstelcodes vervallen automatisch na 30 minuten. Evaluatietokens zijn eenmalig geldig.</w:t>
      </w:r>
    </w:p>
    <w:p>
      <w:pPr>
        <w:pStyle w:val="ListBullet"/>
        <w:spacing w:before="20" w:after="60" w:line="276" w:lineRule="auto"/>
      </w:pPr>
      <w:r>
        <w:rPr>
          <w:b/>
          <w:color w:val="0F172A"/>
          <w:sz w:val="20"/>
        </w:rPr>
        <w:t xml:space="preserve">Audit Log Opschoning: </w:t>
      </w:r>
      <w:r>
        <w:rPr>
          <w:color w:val="0F172A"/>
          <w:sz w:val="20"/>
        </w:rPr>
        <w:t>Auditlogs ouder dan 365 dagen kunnen veilig worden opgeschoond door platformbeheerders.</w:t>
      </w:r>
    </w:p>
    <w:p>
      <w:pPr>
        <w:keepNext/>
        <w:spacing w:before="280" w:after="120"/>
      </w:pPr>
      <w:r>
        <w:rPr>
          <w:b/>
          <w:color w:val="0284C7"/>
          <w:sz w:val="26"/>
        </w:rPr>
        <w:t>3.6 Integriteit en Vertrouwelijkheid (Art. 5.1.f)</w:t>
      </w:r>
    </w:p>
    <w:p>
      <w:pPr>
        <w:spacing w:before="0" w:after="120" w:line="276" w:lineRule="auto"/>
      </w:pPr>
      <w:r>
        <w:rPr>
          <w:i w:val="0"/>
          <w:color w:val="0F172A"/>
          <w:sz w:val="20"/>
        </w:rPr>
        <w:t>Het platform beveiligt gegevens door middel van passende technische en organisatorische maatregelen:</w:t>
      </w:r>
    </w:p>
    <w:p>
      <w:pPr>
        <w:pStyle w:val="ListBullet"/>
        <w:spacing w:before="20" w:after="60" w:line="276" w:lineRule="auto"/>
      </w:pPr>
      <w:r>
        <w:rPr>
          <w:b/>
          <w:color w:val="0F172A"/>
          <w:sz w:val="20"/>
        </w:rPr>
        <w:t xml:space="preserve">Multi-Tenancy: </w:t>
      </w:r>
      <w:r>
        <w:rPr>
          <w:color w:val="0F172A"/>
          <w:sz w:val="20"/>
        </w:rPr>
        <w:t>Rij-niveau multi-tenant database-isolatie filtert elke databasequery op organisatie_id.</w:t>
      </w:r>
    </w:p>
    <w:p>
      <w:pPr>
        <w:pStyle w:val="ListBullet"/>
        <w:spacing w:before="20" w:after="60" w:line="276" w:lineRule="auto"/>
      </w:pPr>
      <w:r>
        <w:rPr>
          <w:b/>
          <w:color w:val="0F172A"/>
          <w:sz w:val="20"/>
        </w:rPr>
        <w:t xml:space="preserve">Cryptografie: </w:t>
      </w:r>
      <w:r>
        <w:rPr>
          <w:color w:val="0F172A"/>
          <w:sz w:val="20"/>
        </w:rPr>
        <w:t>Wachtwoordhashing via Scrypt/Pbkdf2 met unieke salts (Werkzeug).</w:t>
      </w:r>
    </w:p>
    <w:p>
      <w:pPr>
        <w:pStyle w:val="ListBullet"/>
        <w:spacing w:before="20" w:after="60" w:line="276" w:lineRule="auto"/>
      </w:pPr>
      <w:r>
        <w:rPr>
          <w:b/>
          <w:color w:val="0F172A"/>
          <w:sz w:val="20"/>
        </w:rPr>
        <w:t xml:space="preserve">Toegangsbeheer: </w:t>
      </w:r>
      <w:r>
        <w:rPr>
          <w:color w:val="0F172A"/>
          <w:sz w:val="20"/>
        </w:rPr>
        <w:t>Dynamisch RBAC-model met fijnmazige permissiematrix per module en 'hoogste recht wint' resolutie.</w:t>
      </w:r>
    </w:p>
    <w:p>
      <w:pPr>
        <w:pStyle w:val="ListBullet"/>
        <w:spacing w:before="20" w:after="60" w:line="276" w:lineRule="auto"/>
      </w:pPr>
      <w:r>
        <w:rPr>
          <w:b/>
          <w:color w:val="0F172A"/>
          <w:sz w:val="20"/>
        </w:rPr>
        <w:t xml:space="preserve">Sandboxing: </w:t>
      </w:r>
      <w:r>
        <w:rPr>
          <w:color w:val="0F172A"/>
          <w:sz w:val="20"/>
        </w:rPr>
        <w:t>Strikte Content-Security-Policy (CSP) en iframe-sandboxing op document- en screenshotweergave.</w:t>
      </w:r>
    </w:p>
    <w:p>
      <w:r>
        <w:br w:type="page"/>
      </w:r>
    </w:p>
    <w:p>
      <w:pPr>
        <w:keepNext/>
        <w:spacing w:before="360" w:after="160"/>
      </w:pPr>
      <w:r>
        <w:rPr>
          <w:b/>
          <w:color w:val="0F4C81"/>
          <w:sz w:val="32"/>
        </w:rPr>
        <w:t>4. Rechten van Betrokkenen (Art. 12 - 23 AVG)</w:t>
      </w:r>
    </w:p>
    <w:p>
      <w:pPr>
        <w:spacing w:before="0" w:after="120" w:line="276" w:lineRule="auto"/>
      </w:pPr>
      <w:r>
        <w:rPr>
          <w:i w:val="0"/>
          <w:color w:val="0F172A"/>
          <w:sz w:val="20"/>
        </w:rPr>
        <w:t>Het platform biedt volledige technische ondersteuning om verzoeken van betrokkenen tijdig en doeltreffend te behandelen:</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3135"/>
        <w:gridCol w:w="3135"/>
        <w:gridCol w:w="3135"/>
      </w:tblGrid>
      <w:tr>
        <w:tc>
          <w:tcPr>
            <w:tcW w:type="dxa" w:w="2551"/>
            <w:shd w:fill="0F4C81"/>
            <w:tcMar>
              <w:top w:w="160" w:type="dxa"/>
              <w:bottom w:w="160" w:type="dxa"/>
              <w:left w:w="180" w:type="dxa"/>
              <w:right w:w="180" w:type="dxa"/>
            </w:tcMar>
          </w:tcPr>
          <w:p>
            <w:pPr>
              <w:jc w:val="left"/>
            </w:pPr>
            <w:r>
              <w:rPr>
                <w:b/>
                <w:color w:val="FFFFFF"/>
                <w:sz w:val="19"/>
              </w:rPr>
              <w:t>AVG Recht</w:t>
            </w:r>
          </w:p>
        </w:tc>
        <w:tc>
          <w:tcPr>
            <w:tcW w:type="dxa" w:w="5102"/>
            <w:shd w:fill="0F4C81"/>
            <w:tcMar>
              <w:top w:w="160" w:type="dxa"/>
              <w:bottom w:w="160" w:type="dxa"/>
              <w:left w:w="180" w:type="dxa"/>
              <w:right w:w="180" w:type="dxa"/>
            </w:tcMar>
          </w:tcPr>
          <w:p>
            <w:pPr>
              <w:jc w:val="left"/>
            </w:pPr>
            <w:r>
              <w:rPr>
                <w:b/>
                <w:color w:val="FFFFFF"/>
                <w:sz w:val="19"/>
              </w:rPr>
              <w:t>Geïmplementeerde Functionaliteit in Digidokters</w:t>
            </w:r>
          </w:p>
        </w:tc>
        <w:tc>
          <w:tcPr>
            <w:tcW w:type="dxa" w:w="1984"/>
            <w:shd w:fill="0F4C81"/>
            <w:tcMar>
              <w:top w:w="160" w:type="dxa"/>
              <w:bottom w:w="160" w:type="dxa"/>
              <w:left w:w="180" w:type="dxa"/>
              <w:right w:w="180" w:type="dxa"/>
            </w:tcMar>
          </w:tcPr>
          <w:p>
            <w:pPr>
              <w:jc w:val="left"/>
            </w:pPr>
            <w:r>
              <w:rPr>
                <w:b/>
                <w:color w:val="FFFFFF"/>
                <w:sz w:val="19"/>
              </w:rPr>
              <w:t>Status</w:t>
            </w:r>
          </w:p>
        </w:tc>
      </w:tr>
      <w:tr>
        <w:tc>
          <w:tcPr>
            <w:tcW w:type="dxa" w:w="2551"/>
            <w:shd w:fill="FFFFFF"/>
            <w:tcMar>
              <w:top w:w="120" w:type="dxa"/>
              <w:bottom w:w="120" w:type="dxa"/>
              <w:left w:w="160" w:type="dxa"/>
              <w:right w:w="160" w:type="dxa"/>
            </w:tcMar>
          </w:tcPr>
          <w:p>
            <w:r>
              <w:rPr>
                <w:color w:val="0F172A"/>
                <w:sz w:val="18"/>
              </w:rPr>
              <w:t>Recht op Inzage (Art. 15)</w:t>
            </w:r>
          </w:p>
        </w:tc>
        <w:tc>
          <w:tcPr>
            <w:tcW w:type="dxa" w:w="5102"/>
            <w:shd w:fill="FFFFFF"/>
            <w:tcMar>
              <w:top w:w="120" w:type="dxa"/>
              <w:bottom w:w="120" w:type="dxa"/>
              <w:left w:w="160" w:type="dxa"/>
              <w:right w:w="160" w:type="dxa"/>
            </w:tcMar>
          </w:tcPr>
          <w:p>
            <w:r>
              <w:rPr>
                <w:color w:val="0F172A"/>
                <w:sz w:val="18"/>
              </w:rPr>
              <w:t>Beheerders kunnen alle registraties, digidokterprofielen, communicatielogs en evaluaties direct inzien en filteren in de UI.</w:t>
            </w:r>
          </w:p>
        </w:tc>
        <w:tc>
          <w:tcPr>
            <w:tcW w:type="dxa" w:w="1984"/>
            <w:shd w:fill="FFFFFF"/>
            <w:tcMar>
              <w:top w:w="120" w:type="dxa"/>
              <w:bottom w:w="120" w:type="dxa"/>
              <w:left w:w="160" w:type="dxa"/>
              <w:right w:w="160" w:type="dxa"/>
            </w:tcMar>
          </w:tcPr>
          <w:p>
            <w:r>
              <w:rPr>
                <w:color w:val="0F172A"/>
                <w:sz w:val="18"/>
              </w:rPr>
              <w:t>VOLLEDIG ONDERSTEUND</w:t>
            </w:r>
          </w:p>
        </w:tc>
      </w:tr>
      <w:tr>
        <w:tc>
          <w:tcPr>
            <w:tcW w:type="dxa" w:w="2551"/>
            <w:shd w:fill="F0F7FF"/>
            <w:tcMar>
              <w:top w:w="120" w:type="dxa"/>
              <w:bottom w:w="120" w:type="dxa"/>
              <w:left w:w="160" w:type="dxa"/>
              <w:right w:w="160" w:type="dxa"/>
            </w:tcMar>
          </w:tcPr>
          <w:p>
            <w:r>
              <w:rPr>
                <w:color w:val="0F172A"/>
                <w:sz w:val="18"/>
              </w:rPr>
              <w:t>Recht op Rectificatie (Art. 16)</w:t>
            </w:r>
          </w:p>
        </w:tc>
        <w:tc>
          <w:tcPr>
            <w:tcW w:type="dxa" w:w="5102"/>
            <w:shd w:fill="F0F7FF"/>
            <w:tcMar>
              <w:top w:w="120" w:type="dxa"/>
              <w:bottom w:w="120" w:type="dxa"/>
              <w:left w:w="160" w:type="dxa"/>
              <w:right w:w="160" w:type="dxa"/>
            </w:tcMar>
          </w:tcPr>
          <w:p>
            <w:r>
              <w:rPr>
                <w:color w:val="0F172A"/>
                <w:sz w:val="18"/>
              </w:rPr>
              <w:t>Directe bewerkmogelijkheid voor gebruikersprofielen via zelfbediening (/wachtwoord), digidokters en evaluatiereacties (/evaluaties/reactie/&lt;id&gt;/bewerken).</w:t>
            </w:r>
          </w:p>
        </w:tc>
        <w:tc>
          <w:tcPr>
            <w:tcW w:type="dxa" w:w="1984"/>
            <w:shd w:fill="F0F7FF"/>
            <w:tcMar>
              <w:top w:w="120" w:type="dxa"/>
              <w:bottom w:w="120" w:type="dxa"/>
              <w:left w:w="160" w:type="dxa"/>
              <w:right w:w="160" w:type="dxa"/>
            </w:tcMar>
          </w:tcPr>
          <w:p>
            <w:r>
              <w:rPr>
                <w:color w:val="0F172A"/>
                <w:sz w:val="18"/>
              </w:rPr>
              <w:t>VOLLEDIG ONDERSTEUND</w:t>
            </w:r>
          </w:p>
        </w:tc>
      </w:tr>
      <w:tr>
        <w:tc>
          <w:tcPr>
            <w:tcW w:type="dxa" w:w="2551"/>
            <w:shd w:fill="FFFFFF"/>
            <w:tcMar>
              <w:top w:w="120" w:type="dxa"/>
              <w:bottom w:w="120" w:type="dxa"/>
              <w:left w:w="160" w:type="dxa"/>
              <w:right w:w="160" w:type="dxa"/>
            </w:tcMar>
          </w:tcPr>
          <w:p>
            <w:r>
              <w:rPr>
                <w:color w:val="0F172A"/>
                <w:sz w:val="18"/>
              </w:rPr>
              <w:t>Recht op Gegevenswissing / Vergetelheid (Art. 17)</w:t>
            </w:r>
          </w:p>
        </w:tc>
        <w:tc>
          <w:tcPr>
            <w:tcW w:type="dxa" w:w="5102"/>
            <w:shd w:fill="FFFFFF"/>
            <w:tcMar>
              <w:top w:w="120" w:type="dxa"/>
              <w:bottom w:w="120" w:type="dxa"/>
              <w:left w:w="160" w:type="dxa"/>
              <w:right w:w="160" w:type="dxa"/>
            </w:tcMar>
          </w:tcPr>
          <w:p>
            <w:r>
              <w:rPr>
                <w:color w:val="0F172A"/>
                <w:sz w:val="18"/>
              </w:rPr>
              <w:t>Volledige cascade deletion bij het wissen van registraties, documenten, gebruikers en volledige organisaties. Auditlogs en feedback worden conform AVG opgeschoond.</w:t>
            </w:r>
          </w:p>
        </w:tc>
        <w:tc>
          <w:tcPr>
            <w:tcW w:type="dxa" w:w="1984"/>
            <w:shd w:fill="FFFFFF"/>
            <w:tcMar>
              <w:top w:w="120" w:type="dxa"/>
              <w:bottom w:w="120" w:type="dxa"/>
              <w:left w:w="160" w:type="dxa"/>
              <w:right w:w="160" w:type="dxa"/>
            </w:tcMar>
          </w:tcPr>
          <w:p>
            <w:r>
              <w:rPr>
                <w:color w:val="0F172A"/>
                <w:sz w:val="18"/>
              </w:rPr>
              <w:t>VOLLEDIG ONDERSTEUND</w:t>
            </w:r>
          </w:p>
        </w:tc>
      </w:tr>
      <w:tr>
        <w:tc>
          <w:tcPr>
            <w:tcW w:type="dxa" w:w="2551"/>
            <w:shd w:fill="F0F7FF"/>
            <w:tcMar>
              <w:top w:w="120" w:type="dxa"/>
              <w:bottom w:w="120" w:type="dxa"/>
              <w:left w:w="160" w:type="dxa"/>
              <w:right w:w="160" w:type="dxa"/>
            </w:tcMar>
          </w:tcPr>
          <w:p>
            <w:r>
              <w:rPr>
                <w:color w:val="0F172A"/>
                <w:sz w:val="18"/>
              </w:rPr>
              <w:t>Recht op Beperking (Art. 18)</w:t>
            </w:r>
          </w:p>
        </w:tc>
        <w:tc>
          <w:tcPr>
            <w:tcW w:type="dxa" w:w="5102"/>
            <w:shd w:fill="F0F7FF"/>
            <w:tcMar>
              <w:top w:w="120" w:type="dxa"/>
              <w:bottom w:w="120" w:type="dxa"/>
              <w:left w:w="160" w:type="dxa"/>
              <w:right w:w="160" w:type="dxa"/>
            </w:tcMar>
          </w:tcPr>
          <w:p>
            <w:r>
              <w:rPr>
                <w:color w:val="0F172A"/>
                <w:sz w:val="18"/>
              </w:rPr>
              <w:t>Gebruikers, digidokters en stamgegevens kunnen met één klik op 'inactief' worden gezet zonder dataverlies via toggle-functies.</w:t>
            </w:r>
          </w:p>
        </w:tc>
        <w:tc>
          <w:tcPr>
            <w:tcW w:type="dxa" w:w="1984"/>
            <w:shd w:fill="F0F7FF"/>
            <w:tcMar>
              <w:top w:w="120" w:type="dxa"/>
              <w:bottom w:w="120" w:type="dxa"/>
              <w:left w:w="160" w:type="dxa"/>
              <w:right w:w="160" w:type="dxa"/>
            </w:tcMar>
          </w:tcPr>
          <w:p>
            <w:r>
              <w:rPr>
                <w:color w:val="0F172A"/>
                <w:sz w:val="18"/>
              </w:rPr>
              <w:t>VOLLEDIG ONDERSTEUND</w:t>
            </w:r>
          </w:p>
        </w:tc>
      </w:tr>
      <w:tr>
        <w:tc>
          <w:tcPr>
            <w:tcW w:type="dxa" w:w="2551"/>
            <w:shd w:fill="FFFFFF"/>
            <w:tcMar>
              <w:top w:w="120" w:type="dxa"/>
              <w:bottom w:w="120" w:type="dxa"/>
              <w:left w:w="160" w:type="dxa"/>
              <w:right w:w="160" w:type="dxa"/>
            </w:tcMar>
          </w:tcPr>
          <w:p>
            <w:r>
              <w:rPr>
                <w:color w:val="0F172A"/>
                <w:sz w:val="18"/>
              </w:rPr>
              <w:t>Recht op Dataportabiliteit (Art. 20)</w:t>
            </w:r>
          </w:p>
        </w:tc>
        <w:tc>
          <w:tcPr>
            <w:tcW w:type="dxa" w:w="5102"/>
            <w:shd w:fill="FFFFFF"/>
            <w:tcMar>
              <w:top w:w="120" w:type="dxa"/>
              <w:bottom w:w="120" w:type="dxa"/>
              <w:left w:w="160" w:type="dxa"/>
              <w:right w:w="160" w:type="dxa"/>
            </w:tcMar>
          </w:tcPr>
          <w:p>
            <w:r>
              <w:rPr>
                <w:color w:val="0F172A"/>
                <w:sz w:val="18"/>
              </w:rPr>
              <w:t>Volledige exportfunctionaliteit van registraties (inclusief resultaat van het bezoek) en evaluatieresultaten naar gestructureerde CSV- en XLSX-bestanden.</w:t>
            </w:r>
          </w:p>
        </w:tc>
        <w:tc>
          <w:tcPr>
            <w:tcW w:type="dxa" w:w="1984"/>
            <w:shd w:fill="FFFFFF"/>
            <w:tcMar>
              <w:top w:w="120" w:type="dxa"/>
              <w:bottom w:w="120" w:type="dxa"/>
              <w:left w:w="160" w:type="dxa"/>
              <w:right w:w="160" w:type="dxa"/>
            </w:tcMar>
          </w:tcPr>
          <w:p>
            <w:r>
              <w:rPr>
                <w:color w:val="0F172A"/>
                <w:sz w:val="18"/>
              </w:rPr>
              <w:t>VOLLEDIG ONDERSTEUND</w:t>
            </w:r>
          </w:p>
        </w:tc>
      </w:tr>
      <w:tr>
        <w:tc>
          <w:tcPr>
            <w:tcW w:type="dxa" w:w="2551"/>
            <w:shd w:fill="F0F7FF"/>
            <w:tcMar>
              <w:top w:w="120" w:type="dxa"/>
              <w:bottom w:w="120" w:type="dxa"/>
              <w:left w:w="160" w:type="dxa"/>
              <w:right w:w="160" w:type="dxa"/>
            </w:tcMar>
          </w:tcPr>
          <w:p>
            <w:r>
              <w:rPr>
                <w:color w:val="0F172A"/>
                <w:sz w:val="18"/>
              </w:rPr>
              <w:t>Recht van Bezwaar (Art. 21)</w:t>
            </w:r>
          </w:p>
        </w:tc>
        <w:tc>
          <w:tcPr>
            <w:tcW w:type="dxa" w:w="5102"/>
            <w:shd w:fill="F0F7FF"/>
            <w:tcMar>
              <w:top w:w="120" w:type="dxa"/>
              <w:bottom w:w="120" w:type="dxa"/>
              <w:left w:w="160" w:type="dxa"/>
              <w:right w:w="160" w:type="dxa"/>
            </w:tcMar>
          </w:tcPr>
          <w:p>
            <w:r>
              <w:rPr>
                <w:color w:val="0F172A"/>
                <w:sz w:val="18"/>
              </w:rPr>
              <w:t>Vrijwilligers of medewerkers kunnen hun account laten deactiveren of ontkoppelen van specifieke organisaties.</w:t>
            </w:r>
          </w:p>
        </w:tc>
        <w:tc>
          <w:tcPr>
            <w:tcW w:type="dxa" w:w="1984"/>
            <w:shd w:fill="F0F7FF"/>
            <w:tcMar>
              <w:top w:w="120" w:type="dxa"/>
              <w:bottom w:w="120" w:type="dxa"/>
              <w:left w:w="160" w:type="dxa"/>
              <w:right w:w="160" w:type="dxa"/>
            </w:tcMar>
          </w:tcPr>
          <w:p>
            <w:r>
              <w:rPr>
                <w:color w:val="0F172A"/>
                <w:sz w:val="18"/>
              </w:rPr>
              <w:t>VOLLEDIG ONDERSTEUND</w:t>
            </w:r>
          </w:p>
        </w:tc>
      </w:tr>
    </w:tbl>
    <w:p>
      <w:pPr>
        <w:spacing w:after="120"/>
      </w:pPr>
    </w:p>
    <w:p>
      <w:pPr>
        <w:keepNext/>
        <w:spacing w:before="360" w:after="160"/>
      </w:pPr>
      <w:r>
        <w:rPr>
          <w:b/>
          <w:color w:val="0F4C81"/>
          <w:sz w:val="32"/>
        </w:rPr>
        <w:t>5. Privacy by Design &amp; Privacy by Default (Art. 25 AVG)</w:t>
      </w:r>
    </w:p>
    <w:p>
      <w:pPr>
        <w:spacing w:before="0" w:after="120" w:line="276" w:lineRule="auto"/>
      </w:pPr>
      <w:r>
        <w:rPr>
          <w:i w:val="0"/>
          <w:color w:val="0F172A"/>
          <w:sz w:val="20"/>
        </w:rPr>
        <w:t>Het platform is van de grond af ontworpen met privacybevorderende waarborgen:</w:t>
      </w:r>
    </w:p>
    <w:p>
      <w:pPr>
        <w:pStyle w:val="ListBullet"/>
        <w:spacing w:before="20" w:after="60" w:line="276" w:lineRule="auto"/>
      </w:pPr>
      <w:r>
        <w:rPr>
          <w:b/>
          <w:color w:val="0F172A"/>
          <w:sz w:val="20"/>
        </w:rPr>
        <w:t xml:space="preserve">1. Rij-niveau Tenant Isolatie: </w:t>
      </w:r>
      <w:r>
        <w:rPr>
          <w:color w:val="0F172A"/>
          <w:sz w:val="20"/>
        </w:rPr>
        <w:t>Elke databasetabel met organisatiespecifieke gegevens bevat een organisatie_id foreign key. De applicatielaag (utils/tenant.py) forceert organisatie-filtering op alle queries.</w:t>
      </w:r>
    </w:p>
    <w:p>
      <w:pPr>
        <w:pStyle w:val="ListBullet"/>
        <w:spacing w:before="20" w:after="60" w:line="276" w:lineRule="auto"/>
      </w:pPr>
      <w:r>
        <w:rPr>
          <w:b/>
          <w:color w:val="0F172A"/>
          <w:sz w:val="20"/>
        </w:rPr>
        <w:t xml:space="preserve">2. Restrictie 'Alleen Eigen Registraties': </w:t>
      </w:r>
      <w:r>
        <w:rPr>
          <w:color w:val="0F172A"/>
          <w:sz w:val="20"/>
        </w:rPr>
        <w:t>Voor autorisatiegroepen kan de optie 'Alleen eigen registraties tonen' worden geactiveerd. Hierdoor wordt de Digidokter-filterdropdown verborgen en toont het overzicht uitsluitend de consultaties van de ingelogde vrijwilliger.</w:t>
      </w:r>
    </w:p>
    <w:p>
      <w:pPr>
        <w:pStyle w:val="ListBullet"/>
        <w:spacing w:before="20" w:after="60" w:line="276" w:lineRule="auto"/>
      </w:pPr>
      <w:r>
        <w:rPr>
          <w:b/>
          <w:color w:val="0F172A"/>
          <w:sz w:val="20"/>
        </w:rPr>
        <w:t xml:space="preserve">3. Conditionele Veldweergave Resultaten: </w:t>
      </w:r>
      <w:r>
        <w:rPr>
          <w:color w:val="0F172A"/>
          <w:sz w:val="20"/>
        </w:rPr>
        <w:t>Indien een organisatie geen resultaten wenst te registreren, verdwijnt het keuzeveld automatisch uit de registratieformulieren en de exportfilters zodra de stamgegevenslijst leeg is.</w:t>
      </w:r>
    </w:p>
    <w:p>
      <w:pPr>
        <w:pStyle w:val="ListBullet"/>
        <w:spacing w:before="20" w:after="60" w:line="276" w:lineRule="auto"/>
      </w:pPr>
      <w:r>
        <w:rPr>
          <w:b/>
          <w:color w:val="0F172A"/>
          <w:sz w:val="20"/>
        </w:rPr>
        <w:t xml:space="preserve">4. Sandboxed Document Rendering: </w:t>
      </w:r>
      <w:r>
        <w:rPr>
          <w:color w:val="0F172A"/>
          <w:sz w:val="20"/>
        </w:rPr>
        <w:t>Geüploade documenten en screenshots worden in de viewer geserveerd in een sandboxed iframe zonder allow-same-origin om cookie-diefstal en contextlekken te voorkomen.</w:t>
      </w:r>
    </w:p>
    <w:p>
      <w:pPr>
        <w:pStyle w:val="ListBullet"/>
        <w:spacing w:before="20" w:after="60" w:line="276" w:lineRule="auto"/>
      </w:pPr>
      <w:r>
        <w:rPr>
          <w:b/>
          <w:color w:val="0F172A"/>
          <w:sz w:val="20"/>
        </w:rPr>
        <w:t xml:space="preserve">5. Visuele Indicator Productieschema: </w:t>
      </w:r>
      <w:r>
        <w:rPr>
          <w:color w:val="0F172A"/>
          <w:sz w:val="20"/>
        </w:rPr>
        <w:t>In templates/base.html wordt een opvallende amberkleurige waarschuwingsbadge getoond wanneer het lokale PostgreSQL productieschema ('productie') actief is.</w:t>
      </w:r>
    </w:p>
    <w:p>
      <w:pPr>
        <w:pStyle w:val="ListBullet"/>
        <w:spacing w:before="20" w:after="60" w:line="276" w:lineRule="auto"/>
      </w:pPr>
      <w:r>
        <w:rPr>
          <w:b/>
          <w:color w:val="0F172A"/>
          <w:sz w:val="20"/>
        </w:rPr>
        <w:t xml:space="preserve">6. Geautomatiseerd Retentiebeheer: </w:t>
      </w:r>
      <w:r>
        <w:rPr>
          <w:color w:val="0F172A"/>
          <w:sz w:val="20"/>
        </w:rPr>
        <w:t>Backups worden via een geautomatiseerd GFS-algoritme opgeschoond, zodat verouderde gegevens niet oneindig blijven circuleren op lokale schijven.</w:t>
      </w:r>
    </w:p>
    <w:p>
      <w:pPr>
        <w:keepNext/>
        <w:spacing w:before="360" w:after="160"/>
      </w:pPr>
      <w:r>
        <w:rPr>
          <w:b/>
          <w:color w:val="0F4C81"/>
          <w:sz w:val="32"/>
        </w:rPr>
        <w:t>6. Technische en Organisatorische Maatregelen (TOM's)</w:t>
      </w:r>
    </w:p>
    <w:p>
      <w:pPr>
        <w:spacing w:before="0" w:after="120" w:line="276" w:lineRule="auto"/>
      </w:pPr>
      <w:r>
        <w:rPr>
          <w:i w:val="0"/>
          <w:color w:val="0F172A"/>
          <w:sz w:val="20"/>
        </w:rPr>
        <w:t>Conform Art. 32 AVG heeft het platform passende beveiligingsmaatregelen geïmplementeerd om een op het risico afgestemd beveiligingsniveau te waarborgen:</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3135"/>
        <w:gridCol w:w="3135"/>
        <w:gridCol w:w="3135"/>
      </w:tblGrid>
      <w:tr>
        <w:tc>
          <w:tcPr>
            <w:tcW w:type="dxa" w:w="2551"/>
            <w:shd w:fill="0F4C81"/>
            <w:tcMar>
              <w:top w:w="160" w:type="dxa"/>
              <w:bottom w:w="160" w:type="dxa"/>
              <w:left w:w="180" w:type="dxa"/>
              <w:right w:w="180" w:type="dxa"/>
            </w:tcMar>
          </w:tcPr>
          <w:p>
            <w:pPr>
              <w:jc w:val="left"/>
            </w:pPr>
            <w:r>
              <w:rPr>
                <w:b/>
                <w:color w:val="FFFFFF"/>
                <w:sz w:val="19"/>
              </w:rPr>
              <w:t>Pijler Art. 32 AVG</w:t>
            </w:r>
          </w:p>
        </w:tc>
        <w:tc>
          <w:tcPr>
            <w:tcW w:type="dxa" w:w="5102"/>
            <w:shd w:fill="0F4C81"/>
            <w:tcMar>
              <w:top w:w="160" w:type="dxa"/>
              <w:bottom w:w="160" w:type="dxa"/>
              <w:left w:w="180" w:type="dxa"/>
              <w:right w:w="180" w:type="dxa"/>
            </w:tcMar>
          </w:tcPr>
          <w:p>
            <w:pPr>
              <w:jc w:val="left"/>
            </w:pPr>
            <w:r>
              <w:rPr>
                <w:b/>
                <w:color w:val="FFFFFF"/>
                <w:sz w:val="19"/>
              </w:rPr>
              <w:t>Geïmplementeerde Maatregel</w:t>
            </w:r>
          </w:p>
        </w:tc>
        <w:tc>
          <w:tcPr>
            <w:tcW w:type="dxa" w:w="1984"/>
            <w:shd w:fill="0F4C81"/>
            <w:tcMar>
              <w:top w:w="160" w:type="dxa"/>
              <w:bottom w:w="160" w:type="dxa"/>
              <w:left w:w="180" w:type="dxa"/>
              <w:right w:w="180" w:type="dxa"/>
            </w:tcMar>
          </w:tcPr>
          <w:p>
            <w:pPr>
              <w:jc w:val="left"/>
            </w:pPr>
            <w:r>
              <w:rPr>
                <w:b/>
                <w:color w:val="FFFFFF"/>
                <w:sz w:val="19"/>
              </w:rPr>
              <w:t>Evaluatie</w:t>
            </w:r>
          </w:p>
        </w:tc>
      </w:tr>
      <w:tr>
        <w:tc>
          <w:tcPr>
            <w:tcW w:type="dxa" w:w="2551"/>
            <w:shd w:fill="FFFFFF"/>
            <w:tcMar>
              <w:top w:w="120" w:type="dxa"/>
              <w:bottom w:w="120" w:type="dxa"/>
              <w:left w:w="160" w:type="dxa"/>
              <w:right w:w="160" w:type="dxa"/>
            </w:tcMar>
          </w:tcPr>
          <w:p>
            <w:r>
              <w:rPr>
                <w:color w:val="0F172A"/>
                <w:sz w:val="18"/>
              </w:rPr>
              <w:t>Pseudonimisering &amp; Encryptie</w:t>
            </w:r>
          </w:p>
        </w:tc>
        <w:tc>
          <w:tcPr>
            <w:tcW w:type="dxa" w:w="5102"/>
            <w:shd w:fill="FFFFFF"/>
            <w:tcMar>
              <w:top w:w="120" w:type="dxa"/>
              <w:bottom w:w="120" w:type="dxa"/>
              <w:left w:w="160" w:type="dxa"/>
              <w:right w:w="160" w:type="dxa"/>
            </w:tcMar>
          </w:tcPr>
          <w:p>
            <w:r>
              <w:rPr>
                <w:color w:val="0F172A"/>
                <w:sz w:val="18"/>
              </w:rPr>
              <w:t>Wachtwoordhashing via Scrypt/Pbkdf2. TLS 1.3 / SSL verificatie bij database connecties en live dumps (PGSSLROOTCERT). HTTPS cookies (Secure, HttpOnly, SameSite=Lax) in productie.</w:t>
            </w:r>
          </w:p>
        </w:tc>
        <w:tc>
          <w:tcPr>
            <w:tcW w:type="dxa" w:w="1984"/>
            <w:shd w:fill="FFFFFF"/>
            <w:tcMar>
              <w:top w:w="120" w:type="dxa"/>
              <w:bottom w:w="120" w:type="dxa"/>
              <w:left w:w="160" w:type="dxa"/>
              <w:right w:w="160" w:type="dxa"/>
            </w:tcMar>
          </w:tcPr>
          <w:p>
            <w:r>
              <w:rPr>
                <w:color w:val="0F172A"/>
                <w:sz w:val="18"/>
              </w:rPr>
              <w:t>CONFORM</w:t>
            </w:r>
          </w:p>
        </w:tc>
      </w:tr>
      <w:tr>
        <w:tc>
          <w:tcPr>
            <w:tcW w:type="dxa" w:w="2551"/>
            <w:shd w:fill="F0F7FF"/>
            <w:tcMar>
              <w:top w:w="120" w:type="dxa"/>
              <w:bottom w:w="120" w:type="dxa"/>
              <w:left w:w="160" w:type="dxa"/>
              <w:right w:w="160" w:type="dxa"/>
            </w:tcMar>
          </w:tcPr>
          <w:p>
            <w:r>
              <w:rPr>
                <w:color w:val="0F172A"/>
                <w:sz w:val="18"/>
              </w:rPr>
              <w:t>Vertrouwelijkheid &amp; Toegangsbeheer</w:t>
            </w:r>
          </w:p>
        </w:tc>
        <w:tc>
          <w:tcPr>
            <w:tcW w:type="dxa" w:w="5102"/>
            <w:shd w:fill="F0F7FF"/>
            <w:tcMar>
              <w:top w:w="120" w:type="dxa"/>
              <w:bottom w:w="120" w:type="dxa"/>
              <w:left w:w="160" w:type="dxa"/>
              <w:right w:w="160" w:type="dxa"/>
            </w:tcMar>
          </w:tcPr>
          <w:p>
            <w:r>
              <w:rPr>
                <w:color w:val="0F172A"/>
                <w:sz w:val="18"/>
              </w:rPr>
              <w:t>Dynamisch RBAC-model met permissiematrix per module (Registraties, Agenda, Evaluaties, Documenten, Statistieken, Export, Feedback, Stamgegevens, Gebruikers, Groepen, Backups, Auditlogs). Handhaving via decorators.</w:t>
            </w:r>
          </w:p>
        </w:tc>
        <w:tc>
          <w:tcPr>
            <w:tcW w:type="dxa" w:w="1984"/>
            <w:shd w:fill="F0F7FF"/>
            <w:tcMar>
              <w:top w:w="120" w:type="dxa"/>
              <w:bottom w:w="120" w:type="dxa"/>
              <w:left w:w="160" w:type="dxa"/>
              <w:right w:w="160" w:type="dxa"/>
            </w:tcMar>
          </w:tcPr>
          <w:p>
            <w:r>
              <w:rPr>
                <w:color w:val="0F172A"/>
                <w:sz w:val="18"/>
              </w:rPr>
              <w:t>CONFORM</w:t>
            </w:r>
          </w:p>
        </w:tc>
      </w:tr>
      <w:tr>
        <w:tc>
          <w:tcPr>
            <w:tcW w:type="dxa" w:w="2551"/>
            <w:shd w:fill="FFFFFF"/>
            <w:tcMar>
              <w:top w:w="120" w:type="dxa"/>
              <w:bottom w:w="120" w:type="dxa"/>
              <w:left w:w="160" w:type="dxa"/>
              <w:right w:w="160" w:type="dxa"/>
            </w:tcMar>
          </w:tcPr>
          <w:p>
            <w:r>
              <w:rPr>
                <w:color w:val="0F172A"/>
                <w:sz w:val="18"/>
              </w:rPr>
              <w:t>Beschikbaarheid &amp; Veerkracht</w:t>
            </w:r>
          </w:p>
        </w:tc>
        <w:tc>
          <w:tcPr>
            <w:tcW w:type="dxa" w:w="5102"/>
            <w:shd w:fill="FFFFFF"/>
            <w:tcMar>
              <w:top w:w="120" w:type="dxa"/>
              <w:bottom w:w="120" w:type="dxa"/>
              <w:left w:w="160" w:type="dxa"/>
              <w:right w:w="160" w:type="dxa"/>
            </w:tcMar>
          </w:tcPr>
          <w:p>
            <w:r>
              <w:rPr>
                <w:color w:val="0F172A"/>
                <w:sz w:val="18"/>
              </w:rPr>
              <w:t>Geautomatiseerde live pg_dump backups met GFS-retentiebeleid. Schema-isolatie ('public' vs 'productie') voor veilige test- en herstelprocedures. Render PostgreSQL add-on met automatische failover.</w:t>
            </w:r>
          </w:p>
        </w:tc>
        <w:tc>
          <w:tcPr>
            <w:tcW w:type="dxa" w:w="1984"/>
            <w:shd w:fill="FFFFFF"/>
            <w:tcMar>
              <w:top w:w="120" w:type="dxa"/>
              <w:bottom w:w="120" w:type="dxa"/>
              <w:left w:w="160" w:type="dxa"/>
              <w:right w:w="160" w:type="dxa"/>
            </w:tcMar>
          </w:tcPr>
          <w:p>
            <w:r>
              <w:rPr>
                <w:color w:val="0F172A"/>
                <w:sz w:val="18"/>
              </w:rPr>
              <w:t>CONFORM</w:t>
            </w:r>
          </w:p>
        </w:tc>
      </w:tr>
      <w:tr>
        <w:tc>
          <w:tcPr>
            <w:tcW w:type="dxa" w:w="2551"/>
            <w:shd w:fill="F0F7FF"/>
            <w:tcMar>
              <w:top w:w="120" w:type="dxa"/>
              <w:bottom w:w="120" w:type="dxa"/>
              <w:left w:w="160" w:type="dxa"/>
              <w:right w:w="160" w:type="dxa"/>
            </w:tcMar>
          </w:tcPr>
          <w:p>
            <w:r>
              <w:rPr>
                <w:color w:val="0F172A"/>
                <w:sz w:val="18"/>
              </w:rPr>
              <w:t>Regelmatige Evaluatie &amp; Testen</w:t>
            </w:r>
          </w:p>
        </w:tc>
        <w:tc>
          <w:tcPr>
            <w:tcW w:type="dxa" w:w="5102"/>
            <w:shd w:fill="F0F7FF"/>
            <w:tcMar>
              <w:top w:w="120" w:type="dxa"/>
              <w:bottom w:w="120" w:type="dxa"/>
              <w:left w:w="160" w:type="dxa"/>
              <w:right w:w="160" w:type="dxa"/>
            </w:tcMar>
          </w:tcPr>
          <w:p>
            <w:r>
              <w:rPr>
                <w:color w:val="0F172A"/>
                <w:sz w:val="18"/>
              </w:rPr>
              <w:t>Geautomatiseerde testsuite van 236 unittests over 32 suites voor continue verificatie van multi-tenancy, authenticatie, resultaatregistratie en privacy-cascades. SonarQube integratie in CI/CD.</w:t>
            </w:r>
          </w:p>
        </w:tc>
        <w:tc>
          <w:tcPr>
            <w:tcW w:type="dxa" w:w="1984"/>
            <w:shd w:fill="F0F7FF"/>
            <w:tcMar>
              <w:top w:w="120" w:type="dxa"/>
              <w:bottom w:w="120" w:type="dxa"/>
              <w:left w:w="160" w:type="dxa"/>
              <w:right w:w="160" w:type="dxa"/>
            </w:tcMar>
          </w:tcPr>
          <w:p>
            <w:r>
              <w:rPr>
                <w:color w:val="0F172A"/>
                <w:sz w:val="18"/>
              </w:rPr>
              <w:t>CONFORM</w:t>
            </w:r>
          </w:p>
        </w:tc>
      </w:tr>
    </w:tbl>
    <w:p>
      <w:pPr>
        <w:spacing w:after="120"/>
      </w:pPr>
    </w:p>
    <w:p>
      <w:r>
        <w:br w:type="page"/>
      </w:r>
    </w:p>
    <w:p>
      <w:pPr>
        <w:keepNext/>
        <w:spacing w:before="360" w:after="160"/>
      </w:pPr>
      <w:r>
        <w:rPr>
          <w:b/>
          <w:color w:val="0F4C81"/>
          <w:sz w:val="32"/>
        </w:rPr>
        <w:t>7. Register van GDPR-Auditbevindingen</w:t>
      </w:r>
    </w:p>
    <w:p>
      <w:pPr>
        <w:spacing w:before="0" w:after="120" w:line="276" w:lineRule="auto"/>
      </w:pPr>
      <w:r>
        <w:rPr>
          <w:i w:val="0"/>
          <w:color w:val="0F172A"/>
          <w:sz w:val="20"/>
        </w:rPr>
        <w:t>Het onderstaande register documenteert de status van alle historische en recent onderzochte privacybevindingen (GDPR-01 t/m GDPR-13).</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1881"/>
        <w:gridCol w:w="1881"/>
        <w:gridCol w:w="1881"/>
        <w:gridCol w:w="1881"/>
        <w:gridCol w:w="1881"/>
      </w:tblGrid>
      <w:tr>
        <w:tc>
          <w:tcPr>
            <w:tcW w:type="dxa" w:w="1134"/>
            <w:shd w:fill="0F4C81"/>
            <w:tcMar>
              <w:top w:w="160" w:type="dxa"/>
              <w:bottom w:w="160" w:type="dxa"/>
              <w:left w:w="180" w:type="dxa"/>
              <w:right w:w="180" w:type="dxa"/>
            </w:tcMar>
          </w:tcPr>
          <w:p>
            <w:pPr>
              <w:jc w:val="left"/>
            </w:pPr>
            <w:r>
              <w:rPr>
                <w:b/>
                <w:color w:val="FFFFFF"/>
                <w:sz w:val="19"/>
              </w:rPr>
              <w:t>ID</w:t>
            </w:r>
          </w:p>
        </w:tc>
        <w:tc>
          <w:tcPr>
            <w:tcW w:type="dxa" w:w="3402"/>
            <w:shd w:fill="0F4C81"/>
            <w:tcMar>
              <w:top w:w="160" w:type="dxa"/>
              <w:bottom w:w="160" w:type="dxa"/>
              <w:left w:w="180" w:type="dxa"/>
              <w:right w:w="180" w:type="dxa"/>
            </w:tcMar>
          </w:tcPr>
          <w:p>
            <w:pPr>
              <w:jc w:val="left"/>
            </w:pPr>
            <w:r>
              <w:rPr>
                <w:b/>
                <w:color w:val="FFFFFF"/>
                <w:sz w:val="19"/>
              </w:rPr>
              <w:t>Onderwerp / Bevinding</w:t>
            </w:r>
          </w:p>
        </w:tc>
        <w:tc>
          <w:tcPr>
            <w:tcW w:type="dxa" w:w="1814"/>
            <w:shd w:fill="0F4C81"/>
            <w:tcMar>
              <w:top w:w="160" w:type="dxa"/>
              <w:bottom w:w="160" w:type="dxa"/>
              <w:left w:w="180" w:type="dxa"/>
              <w:right w:w="180" w:type="dxa"/>
            </w:tcMar>
          </w:tcPr>
          <w:p>
            <w:pPr>
              <w:jc w:val="left"/>
            </w:pPr>
            <w:r>
              <w:rPr>
                <w:b/>
                <w:color w:val="FFFFFF"/>
                <w:sz w:val="19"/>
              </w:rPr>
              <w:t>AVG Artikel</w:t>
            </w:r>
          </w:p>
        </w:tc>
        <w:tc>
          <w:tcPr>
            <w:tcW w:type="dxa" w:w="1304"/>
            <w:shd w:fill="0F4C81"/>
            <w:tcMar>
              <w:top w:w="160" w:type="dxa"/>
              <w:bottom w:w="160" w:type="dxa"/>
              <w:left w:w="180" w:type="dxa"/>
              <w:right w:w="180" w:type="dxa"/>
            </w:tcMar>
          </w:tcPr>
          <w:p>
            <w:pPr>
              <w:jc w:val="left"/>
            </w:pPr>
            <w:r>
              <w:rPr>
                <w:b/>
                <w:color w:val="FFFFFF"/>
                <w:sz w:val="19"/>
              </w:rPr>
              <w:t>Ernst</w:t>
            </w:r>
          </w:p>
        </w:tc>
        <w:tc>
          <w:tcPr>
            <w:tcW w:type="dxa" w:w="1984"/>
            <w:shd w:fill="0F4C81"/>
            <w:tcMar>
              <w:top w:w="160" w:type="dxa"/>
              <w:bottom w:w="160" w:type="dxa"/>
              <w:left w:w="180" w:type="dxa"/>
              <w:right w:w="180" w:type="dxa"/>
            </w:tcMar>
          </w:tcPr>
          <w:p>
            <w:pPr>
              <w:jc w:val="left"/>
            </w:pPr>
            <w:r>
              <w:rPr>
                <w:b/>
                <w:color w:val="FFFFFF"/>
                <w:sz w:val="19"/>
              </w:rPr>
              <w:t>Status</w:t>
            </w:r>
          </w:p>
        </w:tc>
      </w:tr>
      <w:tr>
        <w:tc>
          <w:tcPr>
            <w:tcW w:type="dxa" w:w="1134"/>
            <w:shd w:fill="FFFFFF"/>
            <w:tcMar>
              <w:top w:w="120" w:type="dxa"/>
              <w:bottom w:w="120" w:type="dxa"/>
              <w:left w:w="160" w:type="dxa"/>
              <w:right w:w="160" w:type="dxa"/>
            </w:tcMar>
          </w:tcPr>
          <w:p>
            <w:r>
              <w:rPr>
                <w:color w:val="0F172A"/>
                <w:sz w:val="18"/>
              </w:rPr>
              <w:t>GDPR-01</w:t>
            </w:r>
          </w:p>
        </w:tc>
        <w:tc>
          <w:tcPr>
            <w:tcW w:type="dxa" w:w="3402"/>
            <w:shd w:fill="FFFFFF"/>
            <w:tcMar>
              <w:top w:w="120" w:type="dxa"/>
              <w:bottom w:w="120" w:type="dxa"/>
              <w:left w:w="160" w:type="dxa"/>
              <w:right w:w="160" w:type="dxa"/>
            </w:tcMar>
          </w:tcPr>
          <w:p>
            <w:r>
              <w:rPr>
                <w:color w:val="0F172A"/>
                <w:sz w:val="18"/>
              </w:rPr>
              <w:t>Multi-tenant Isolatie &amp; Vergetelheid bij Gebruikersverwijdering</w:t>
            </w:r>
          </w:p>
        </w:tc>
        <w:tc>
          <w:tcPr>
            <w:tcW w:type="dxa" w:w="1814"/>
            <w:shd w:fill="FFFFFF"/>
            <w:tcMar>
              <w:top w:w="120" w:type="dxa"/>
              <w:bottom w:w="120" w:type="dxa"/>
              <w:left w:w="160" w:type="dxa"/>
              <w:right w:w="160" w:type="dxa"/>
            </w:tcMar>
          </w:tcPr>
          <w:p>
            <w:r>
              <w:rPr>
                <w:color w:val="0F172A"/>
                <w:sz w:val="18"/>
              </w:rPr>
              <w:t>Art. 17 &amp; 5.1.f</w:t>
            </w:r>
          </w:p>
        </w:tc>
        <w:tc>
          <w:tcPr>
            <w:tcW w:type="dxa" w:w="1304"/>
            <w:shd w:fill="FFFFFF"/>
            <w:tcMar>
              <w:top w:w="120" w:type="dxa"/>
              <w:bottom w:w="120" w:type="dxa"/>
              <w:left w:w="160" w:type="dxa"/>
              <w:right w:w="160" w:type="dxa"/>
            </w:tcMar>
          </w:tcPr>
          <w:p>
            <w:r>
              <w:rPr>
                <w:color w:val="0F172A"/>
                <w:sz w:val="18"/>
              </w:rPr>
              <w:t>Hoog</w:t>
            </w:r>
          </w:p>
        </w:tc>
        <w:tc>
          <w:tcPr>
            <w:tcW w:type="dxa" w:w="1984"/>
            <w:shd w:fill="FFFFFF"/>
            <w:tcMar>
              <w:top w:w="120" w:type="dxa"/>
              <w:bottom w:w="120" w:type="dxa"/>
              <w:left w:w="160" w:type="dxa"/>
              <w:right w:w="160" w:type="dxa"/>
            </w:tcMar>
          </w:tcPr>
          <w:p>
            <w:r>
              <w:rPr>
                <w:color w:val="0F172A"/>
                <w:sz w:val="18"/>
              </w:rPr>
              <w:t>OPGELOST</w:t>
            </w:r>
          </w:p>
        </w:tc>
      </w:tr>
      <w:tr>
        <w:tc>
          <w:tcPr>
            <w:tcW w:type="dxa" w:w="1134"/>
            <w:shd w:fill="F0F7FF"/>
            <w:tcMar>
              <w:top w:w="120" w:type="dxa"/>
              <w:bottom w:w="120" w:type="dxa"/>
              <w:left w:w="160" w:type="dxa"/>
              <w:right w:w="160" w:type="dxa"/>
            </w:tcMar>
          </w:tcPr>
          <w:p>
            <w:r>
              <w:rPr>
                <w:color w:val="0F172A"/>
                <w:sz w:val="18"/>
              </w:rPr>
              <w:t>GDPR-02</w:t>
            </w:r>
          </w:p>
        </w:tc>
        <w:tc>
          <w:tcPr>
            <w:tcW w:type="dxa" w:w="3402"/>
            <w:shd w:fill="F0F7FF"/>
            <w:tcMar>
              <w:top w:w="120" w:type="dxa"/>
              <w:bottom w:w="120" w:type="dxa"/>
              <w:left w:w="160" w:type="dxa"/>
              <w:right w:w="160" w:type="dxa"/>
            </w:tcMar>
          </w:tcPr>
          <w:p>
            <w:r>
              <w:rPr>
                <w:color w:val="0F172A"/>
                <w:sz w:val="18"/>
              </w:rPr>
              <w:t>Dataminimalisatie bij Feedback &amp; Schermafbeeldingen</w:t>
            </w:r>
          </w:p>
        </w:tc>
        <w:tc>
          <w:tcPr>
            <w:tcW w:type="dxa" w:w="1814"/>
            <w:shd w:fill="F0F7FF"/>
            <w:tcMar>
              <w:top w:w="120" w:type="dxa"/>
              <w:bottom w:w="120" w:type="dxa"/>
              <w:left w:w="160" w:type="dxa"/>
              <w:right w:w="160" w:type="dxa"/>
            </w:tcMar>
          </w:tcPr>
          <w:p>
            <w:r>
              <w:rPr>
                <w:color w:val="0F172A"/>
                <w:sz w:val="18"/>
              </w:rPr>
              <w:t>Art. 5.1.c &amp; 25</w:t>
            </w:r>
          </w:p>
        </w:tc>
        <w:tc>
          <w:tcPr>
            <w:tcW w:type="dxa" w:w="1304"/>
            <w:shd w:fill="F0F7FF"/>
            <w:tcMar>
              <w:top w:w="120" w:type="dxa"/>
              <w:bottom w:w="120" w:type="dxa"/>
              <w:left w:w="160" w:type="dxa"/>
              <w:right w:w="160" w:type="dxa"/>
            </w:tcMar>
          </w:tcPr>
          <w:p>
            <w:r>
              <w:rPr>
                <w:color w:val="0F172A"/>
                <w:sz w:val="18"/>
              </w:rPr>
              <w:t>Medium</w:t>
            </w:r>
          </w:p>
        </w:tc>
        <w:tc>
          <w:tcPr>
            <w:tcW w:type="dxa" w:w="1984"/>
            <w:shd w:fill="F0F7FF"/>
            <w:tcMar>
              <w:top w:w="120" w:type="dxa"/>
              <w:bottom w:w="120" w:type="dxa"/>
              <w:left w:w="160" w:type="dxa"/>
              <w:right w:w="160" w:type="dxa"/>
            </w:tcMar>
          </w:tcPr>
          <w:p>
            <w:r>
              <w:rPr>
                <w:color w:val="0F172A"/>
                <w:sz w:val="18"/>
              </w:rPr>
              <w:t>OPGELOST</w:t>
            </w:r>
          </w:p>
        </w:tc>
      </w:tr>
      <w:tr>
        <w:tc>
          <w:tcPr>
            <w:tcW w:type="dxa" w:w="1134"/>
            <w:shd w:fill="FFFFFF"/>
            <w:tcMar>
              <w:top w:w="120" w:type="dxa"/>
              <w:bottom w:w="120" w:type="dxa"/>
              <w:left w:w="160" w:type="dxa"/>
              <w:right w:w="160" w:type="dxa"/>
            </w:tcMar>
          </w:tcPr>
          <w:p>
            <w:r>
              <w:rPr>
                <w:color w:val="0F172A"/>
                <w:sz w:val="18"/>
              </w:rPr>
              <w:t>GDPR-03</w:t>
            </w:r>
          </w:p>
        </w:tc>
        <w:tc>
          <w:tcPr>
            <w:tcW w:type="dxa" w:w="3402"/>
            <w:shd w:fill="FFFFFF"/>
            <w:tcMar>
              <w:top w:w="120" w:type="dxa"/>
              <w:bottom w:w="120" w:type="dxa"/>
              <w:left w:w="160" w:type="dxa"/>
              <w:right w:w="160" w:type="dxa"/>
            </w:tcMar>
          </w:tcPr>
          <w:p>
            <w:r>
              <w:rPr>
                <w:color w:val="0F172A"/>
                <w:sz w:val="18"/>
              </w:rPr>
              <w:t>Transparantie &amp; Informatieplicht op Publiek Evaluatieformulier</w:t>
            </w:r>
          </w:p>
        </w:tc>
        <w:tc>
          <w:tcPr>
            <w:tcW w:type="dxa" w:w="1814"/>
            <w:shd w:fill="FFFFFF"/>
            <w:tcMar>
              <w:top w:w="120" w:type="dxa"/>
              <w:bottom w:w="120" w:type="dxa"/>
              <w:left w:w="160" w:type="dxa"/>
              <w:right w:w="160" w:type="dxa"/>
            </w:tcMar>
          </w:tcPr>
          <w:p>
            <w:r>
              <w:rPr>
                <w:color w:val="0F172A"/>
                <w:sz w:val="18"/>
              </w:rPr>
              <w:t>Art. 13 &amp; 5.1.a</w:t>
            </w:r>
          </w:p>
        </w:tc>
        <w:tc>
          <w:tcPr>
            <w:tcW w:type="dxa" w:w="1304"/>
            <w:shd w:fill="FFFFFF"/>
            <w:tcMar>
              <w:top w:w="120" w:type="dxa"/>
              <w:bottom w:w="120" w:type="dxa"/>
              <w:left w:w="160" w:type="dxa"/>
              <w:right w:w="160" w:type="dxa"/>
            </w:tcMar>
          </w:tcPr>
          <w:p>
            <w:r>
              <w:rPr>
                <w:color w:val="0F172A"/>
                <w:sz w:val="18"/>
              </w:rPr>
              <w:t>Medium</w:t>
            </w:r>
          </w:p>
        </w:tc>
        <w:tc>
          <w:tcPr>
            <w:tcW w:type="dxa" w:w="1984"/>
            <w:shd w:fill="FFFFFF"/>
            <w:tcMar>
              <w:top w:w="120" w:type="dxa"/>
              <w:bottom w:w="120" w:type="dxa"/>
              <w:left w:w="160" w:type="dxa"/>
              <w:right w:w="160" w:type="dxa"/>
            </w:tcMar>
          </w:tcPr>
          <w:p>
            <w:r>
              <w:rPr>
                <w:color w:val="0F172A"/>
                <w:sz w:val="18"/>
              </w:rPr>
              <w:t>OPGELOST</w:t>
            </w:r>
          </w:p>
        </w:tc>
      </w:tr>
      <w:tr>
        <w:tc>
          <w:tcPr>
            <w:tcW w:type="dxa" w:w="1134"/>
            <w:shd w:fill="F0F7FF"/>
            <w:tcMar>
              <w:top w:w="120" w:type="dxa"/>
              <w:bottom w:w="120" w:type="dxa"/>
              <w:left w:w="160" w:type="dxa"/>
              <w:right w:w="160" w:type="dxa"/>
            </w:tcMar>
          </w:tcPr>
          <w:p>
            <w:r>
              <w:rPr>
                <w:color w:val="0F172A"/>
                <w:sz w:val="18"/>
              </w:rPr>
              <w:t>GDPR-04</w:t>
            </w:r>
          </w:p>
        </w:tc>
        <w:tc>
          <w:tcPr>
            <w:tcW w:type="dxa" w:w="3402"/>
            <w:shd w:fill="F0F7FF"/>
            <w:tcMar>
              <w:top w:w="120" w:type="dxa"/>
              <w:bottom w:w="120" w:type="dxa"/>
              <w:left w:w="160" w:type="dxa"/>
              <w:right w:w="160" w:type="dxa"/>
            </w:tcMar>
          </w:tcPr>
          <w:p>
            <w:r>
              <w:rPr>
                <w:color w:val="0F172A"/>
                <w:sz w:val="18"/>
              </w:rPr>
              <w:t>Centrale Privacy &amp; AVG Modal in Navigatiemenu</w:t>
            </w:r>
          </w:p>
        </w:tc>
        <w:tc>
          <w:tcPr>
            <w:tcW w:type="dxa" w:w="1814"/>
            <w:shd w:fill="F0F7FF"/>
            <w:tcMar>
              <w:top w:w="120" w:type="dxa"/>
              <w:bottom w:w="120" w:type="dxa"/>
              <w:left w:w="160" w:type="dxa"/>
              <w:right w:w="160" w:type="dxa"/>
            </w:tcMar>
          </w:tcPr>
          <w:p>
            <w:r>
              <w:rPr>
                <w:color w:val="0F172A"/>
                <w:sz w:val="18"/>
              </w:rPr>
              <w:t>Art. 12 &amp; 13</w:t>
            </w:r>
          </w:p>
        </w:tc>
        <w:tc>
          <w:tcPr>
            <w:tcW w:type="dxa" w:w="1304"/>
            <w:shd w:fill="F0F7FF"/>
            <w:tcMar>
              <w:top w:w="120" w:type="dxa"/>
              <w:bottom w:w="120" w:type="dxa"/>
              <w:left w:w="160" w:type="dxa"/>
              <w:right w:w="160" w:type="dxa"/>
            </w:tcMar>
          </w:tcPr>
          <w:p>
            <w:r>
              <w:rPr>
                <w:color w:val="0F172A"/>
                <w:sz w:val="18"/>
              </w:rPr>
              <w:t>Laag</w:t>
            </w:r>
          </w:p>
        </w:tc>
        <w:tc>
          <w:tcPr>
            <w:tcW w:type="dxa" w:w="1984"/>
            <w:shd w:fill="F0F7FF"/>
            <w:tcMar>
              <w:top w:w="120" w:type="dxa"/>
              <w:bottom w:w="120" w:type="dxa"/>
              <w:left w:w="160" w:type="dxa"/>
              <w:right w:w="160" w:type="dxa"/>
            </w:tcMar>
          </w:tcPr>
          <w:p>
            <w:r>
              <w:rPr>
                <w:color w:val="0F172A"/>
                <w:sz w:val="18"/>
              </w:rPr>
              <w:t>OPGELOST</w:t>
            </w:r>
          </w:p>
        </w:tc>
      </w:tr>
      <w:tr>
        <w:tc>
          <w:tcPr>
            <w:tcW w:type="dxa" w:w="1134"/>
            <w:shd w:fill="FFFFFF"/>
            <w:tcMar>
              <w:top w:w="120" w:type="dxa"/>
              <w:bottom w:w="120" w:type="dxa"/>
              <w:left w:w="160" w:type="dxa"/>
              <w:right w:w="160" w:type="dxa"/>
            </w:tcMar>
          </w:tcPr>
          <w:p>
            <w:r>
              <w:rPr>
                <w:color w:val="0F172A"/>
                <w:sz w:val="18"/>
              </w:rPr>
              <w:t>GDPR-05</w:t>
            </w:r>
          </w:p>
        </w:tc>
        <w:tc>
          <w:tcPr>
            <w:tcW w:type="dxa" w:w="3402"/>
            <w:shd w:fill="FFFFFF"/>
            <w:tcMar>
              <w:top w:w="120" w:type="dxa"/>
              <w:bottom w:w="120" w:type="dxa"/>
              <w:left w:w="160" w:type="dxa"/>
              <w:right w:w="160" w:type="dxa"/>
            </w:tcMar>
          </w:tcPr>
          <w:p>
            <w:r>
              <w:rPr>
                <w:color w:val="0F172A"/>
                <w:sz w:val="18"/>
              </w:rPr>
              <w:t>Opslagbeperking &amp; GFS Retentiebeheer op Database Backups</w:t>
            </w:r>
          </w:p>
        </w:tc>
        <w:tc>
          <w:tcPr>
            <w:tcW w:type="dxa" w:w="1814"/>
            <w:shd w:fill="FFFFFF"/>
            <w:tcMar>
              <w:top w:w="120" w:type="dxa"/>
              <w:bottom w:w="120" w:type="dxa"/>
              <w:left w:w="160" w:type="dxa"/>
              <w:right w:w="160" w:type="dxa"/>
            </w:tcMar>
          </w:tcPr>
          <w:p>
            <w:r>
              <w:rPr>
                <w:color w:val="0F172A"/>
                <w:sz w:val="18"/>
              </w:rPr>
              <w:t>Art. 5.1.e</w:t>
            </w:r>
          </w:p>
        </w:tc>
        <w:tc>
          <w:tcPr>
            <w:tcW w:type="dxa" w:w="1304"/>
            <w:shd w:fill="FFFFFF"/>
            <w:tcMar>
              <w:top w:w="120" w:type="dxa"/>
              <w:bottom w:w="120" w:type="dxa"/>
              <w:left w:w="160" w:type="dxa"/>
              <w:right w:w="160" w:type="dxa"/>
            </w:tcMar>
          </w:tcPr>
          <w:p>
            <w:r>
              <w:rPr>
                <w:color w:val="0F172A"/>
                <w:sz w:val="18"/>
              </w:rPr>
              <w:t>Medium</w:t>
            </w:r>
          </w:p>
        </w:tc>
        <w:tc>
          <w:tcPr>
            <w:tcW w:type="dxa" w:w="1984"/>
            <w:shd w:fill="FFFFFF"/>
            <w:tcMar>
              <w:top w:w="120" w:type="dxa"/>
              <w:bottom w:w="120" w:type="dxa"/>
              <w:left w:w="160" w:type="dxa"/>
              <w:right w:w="160" w:type="dxa"/>
            </w:tcMar>
          </w:tcPr>
          <w:p>
            <w:r>
              <w:rPr>
                <w:color w:val="0F172A"/>
                <w:sz w:val="18"/>
              </w:rPr>
              <w:t>GEVERIFIEERD</w:t>
            </w:r>
          </w:p>
        </w:tc>
      </w:tr>
      <w:tr>
        <w:tc>
          <w:tcPr>
            <w:tcW w:type="dxa" w:w="1134"/>
            <w:shd w:fill="F0F7FF"/>
            <w:tcMar>
              <w:top w:w="120" w:type="dxa"/>
              <w:bottom w:w="120" w:type="dxa"/>
              <w:left w:w="160" w:type="dxa"/>
              <w:right w:w="160" w:type="dxa"/>
            </w:tcMar>
          </w:tcPr>
          <w:p>
            <w:r>
              <w:rPr>
                <w:color w:val="0F172A"/>
                <w:sz w:val="18"/>
              </w:rPr>
              <w:t>GDPR-06</w:t>
            </w:r>
          </w:p>
        </w:tc>
        <w:tc>
          <w:tcPr>
            <w:tcW w:type="dxa" w:w="3402"/>
            <w:shd w:fill="F0F7FF"/>
            <w:tcMar>
              <w:top w:w="120" w:type="dxa"/>
              <w:bottom w:w="120" w:type="dxa"/>
              <w:left w:w="160" w:type="dxa"/>
              <w:right w:w="160" w:type="dxa"/>
            </w:tcMar>
          </w:tcPr>
          <w:p>
            <w:r>
              <w:rPr>
                <w:color w:val="0F172A"/>
                <w:sz w:val="18"/>
              </w:rPr>
              <w:t>Recht op Rectificatie bij Ingediende Evaluaties</w:t>
            </w:r>
          </w:p>
        </w:tc>
        <w:tc>
          <w:tcPr>
            <w:tcW w:type="dxa" w:w="1814"/>
            <w:shd w:fill="F0F7FF"/>
            <w:tcMar>
              <w:top w:w="120" w:type="dxa"/>
              <w:bottom w:w="120" w:type="dxa"/>
              <w:left w:w="160" w:type="dxa"/>
              <w:right w:w="160" w:type="dxa"/>
            </w:tcMar>
          </w:tcPr>
          <w:p>
            <w:r>
              <w:rPr>
                <w:color w:val="0F172A"/>
                <w:sz w:val="18"/>
              </w:rPr>
              <w:t>Art. 16</w:t>
            </w:r>
          </w:p>
        </w:tc>
        <w:tc>
          <w:tcPr>
            <w:tcW w:type="dxa" w:w="1304"/>
            <w:shd w:fill="F0F7FF"/>
            <w:tcMar>
              <w:top w:w="120" w:type="dxa"/>
              <w:bottom w:w="120" w:type="dxa"/>
              <w:left w:w="160" w:type="dxa"/>
              <w:right w:w="160" w:type="dxa"/>
            </w:tcMar>
          </w:tcPr>
          <w:p>
            <w:r>
              <w:rPr>
                <w:color w:val="0F172A"/>
                <w:sz w:val="18"/>
              </w:rPr>
              <w:t>Laag</w:t>
            </w:r>
          </w:p>
        </w:tc>
        <w:tc>
          <w:tcPr>
            <w:tcW w:type="dxa" w:w="1984"/>
            <w:shd w:fill="F0F7FF"/>
            <w:tcMar>
              <w:top w:w="120" w:type="dxa"/>
              <w:bottom w:w="120" w:type="dxa"/>
              <w:left w:w="160" w:type="dxa"/>
              <w:right w:w="160" w:type="dxa"/>
            </w:tcMar>
          </w:tcPr>
          <w:p>
            <w:r>
              <w:rPr>
                <w:color w:val="0F172A"/>
                <w:sz w:val="18"/>
              </w:rPr>
              <w:t>GEVERIFIEERD</w:t>
            </w:r>
          </w:p>
        </w:tc>
      </w:tr>
      <w:tr>
        <w:tc>
          <w:tcPr>
            <w:tcW w:type="dxa" w:w="1134"/>
            <w:shd w:fill="FFFFFF"/>
            <w:tcMar>
              <w:top w:w="120" w:type="dxa"/>
              <w:bottom w:w="120" w:type="dxa"/>
              <w:left w:w="160" w:type="dxa"/>
              <w:right w:w="160" w:type="dxa"/>
            </w:tcMar>
          </w:tcPr>
          <w:p>
            <w:r>
              <w:rPr>
                <w:color w:val="0F172A"/>
                <w:sz w:val="18"/>
              </w:rPr>
              <w:t>GDPR-07</w:t>
            </w:r>
          </w:p>
        </w:tc>
        <w:tc>
          <w:tcPr>
            <w:tcW w:type="dxa" w:w="3402"/>
            <w:shd w:fill="FFFFFF"/>
            <w:tcMar>
              <w:top w:w="120" w:type="dxa"/>
              <w:bottom w:w="120" w:type="dxa"/>
              <w:left w:w="160" w:type="dxa"/>
              <w:right w:w="160" w:type="dxa"/>
            </w:tcMar>
          </w:tcPr>
          <w:p>
            <w:r>
              <w:rPr>
                <w:color w:val="0F172A"/>
                <w:sz w:val="18"/>
              </w:rPr>
              <w:t>Privacy by Design bij Schema Switching &amp; Productie-indicator</w:t>
            </w:r>
          </w:p>
        </w:tc>
        <w:tc>
          <w:tcPr>
            <w:tcW w:type="dxa" w:w="1814"/>
            <w:shd w:fill="FFFFFF"/>
            <w:tcMar>
              <w:top w:w="120" w:type="dxa"/>
              <w:bottom w:w="120" w:type="dxa"/>
              <w:left w:w="160" w:type="dxa"/>
              <w:right w:w="160" w:type="dxa"/>
            </w:tcMar>
          </w:tcPr>
          <w:p>
            <w:r>
              <w:rPr>
                <w:color w:val="0F172A"/>
                <w:sz w:val="18"/>
              </w:rPr>
              <w:t>Art. 25</w:t>
            </w:r>
          </w:p>
        </w:tc>
        <w:tc>
          <w:tcPr>
            <w:tcW w:type="dxa" w:w="1304"/>
            <w:shd w:fill="FFFFFF"/>
            <w:tcMar>
              <w:top w:w="120" w:type="dxa"/>
              <w:bottom w:w="120" w:type="dxa"/>
              <w:left w:w="160" w:type="dxa"/>
              <w:right w:w="160" w:type="dxa"/>
            </w:tcMar>
          </w:tcPr>
          <w:p>
            <w:r>
              <w:rPr>
                <w:color w:val="0F172A"/>
                <w:sz w:val="18"/>
              </w:rPr>
              <w:t>Laag</w:t>
            </w:r>
          </w:p>
        </w:tc>
        <w:tc>
          <w:tcPr>
            <w:tcW w:type="dxa" w:w="1984"/>
            <w:shd w:fill="FFFFFF"/>
            <w:tcMar>
              <w:top w:w="120" w:type="dxa"/>
              <w:bottom w:w="120" w:type="dxa"/>
              <w:left w:w="160" w:type="dxa"/>
              <w:right w:w="160" w:type="dxa"/>
            </w:tcMar>
          </w:tcPr>
          <w:p>
            <w:r>
              <w:rPr>
                <w:color w:val="0F172A"/>
                <w:sz w:val="18"/>
              </w:rPr>
              <w:t>GEVERIFIEERD</w:t>
            </w:r>
          </w:p>
        </w:tc>
      </w:tr>
      <w:tr>
        <w:tc>
          <w:tcPr>
            <w:tcW w:type="dxa" w:w="1134"/>
            <w:shd w:fill="F0F7FF"/>
            <w:tcMar>
              <w:top w:w="120" w:type="dxa"/>
              <w:bottom w:w="120" w:type="dxa"/>
              <w:left w:w="160" w:type="dxa"/>
              <w:right w:w="160" w:type="dxa"/>
            </w:tcMar>
          </w:tcPr>
          <w:p>
            <w:r>
              <w:rPr>
                <w:color w:val="0F172A"/>
                <w:sz w:val="18"/>
              </w:rPr>
              <w:t>GDPR-08</w:t>
            </w:r>
          </w:p>
        </w:tc>
        <w:tc>
          <w:tcPr>
            <w:tcW w:type="dxa" w:w="3402"/>
            <w:shd w:fill="F0F7FF"/>
            <w:tcMar>
              <w:top w:w="120" w:type="dxa"/>
              <w:bottom w:w="120" w:type="dxa"/>
              <w:left w:w="160" w:type="dxa"/>
              <w:right w:w="160" w:type="dxa"/>
            </w:tcMar>
          </w:tcPr>
          <w:p>
            <w:r>
              <w:rPr>
                <w:color w:val="0F172A"/>
                <w:sz w:val="18"/>
              </w:rPr>
              <w:t>Least Privilege Handhaving via Introductie van 'Lezer' Rol</w:t>
            </w:r>
          </w:p>
        </w:tc>
        <w:tc>
          <w:tcPr>
            <w:tcW w:type="dxa" w:w="1814"/>
            <w:shd w:fill="F0F7FF"/>
            <w:tcMar>
              <w:top w:w="120" w:type="dxa"/>
              <w:bottom w:w="120" w:type="dxa"/>
              <w:left w:w="160" w:type="dxa"/>
              <w:right w:w="160" w:type="dxa"/>
            </w:tcMar>
          </w:tcPr>
          <w:p>
            <w:r>
              <w:rPr>
                <w:color w:val="0F172A"/>
                <w:sz w:val="18"/>
              </w:rPr>
              <w:t>Art. 5.1.f &amp; 32</w:t>
            </w:r>
          </w:p>
        </w:tc>
        <w:tc>
          <w:tcPr>
            <w:tcW w:type="dxa" w:w="1304"/>
            <w:shd w:fill="F0F7FF"/>
            <w:tcMar>
              <w:top w:w="120" w:type="dxa"/>
              <w:bottom w:w="120" w:type="dxa"/>
              <w:left w:w="160" w:type="dxa"/>
              <w:right w:w="160" w:type="dxa"/>
            </w:tcMar>
          </w:tcPr>
          <w:p>
            <w:r>
              <w:rPr>
                <w:color w:val="0F172A"/>
                <w:sz w:val="18"/>
              </w:rPr>
              <w:t>Medium</w:t>
            </w:r>
          </w:p>
        </w:tc>
        <w:tc>
          <w:tcPr>
            <w:tcW w:type="dxa" w:w="1984"/>
            <w:shd w:fill="F0F7FF"/>
            <w:tcMar>
              <w:top w:w="120" w:type="dxa"/>
              <w:bottom w:w="120" w:type="dxa"/>
              <w:left w:w="160" w:type="dxa"/>
              <w:right w:w="160" w:type="dxa"/>
            </w:tcMar>
          </w:tcPr>
          <w:p>
            <w:r>
              <w:rPr>
                <w:color w:val="0F172A"/>
                <w:sz w:val="18"/>
              </w:rPr>
              <w:t>GEVERIFIEERD</w:t>
            </w:r>
          </w:p>
        </w:tc>
      </w:tr>
      <w:tr>
        <w:tc>
          <w:tcPr>
            <w:tcW w:type="dxa" w:w="1134"/>
            <w:shd w:fill="FFFFFF"/>
            <w:tcMar>
              <w:top w:w="120" w:type="dxa"/>
              <w:bottom w:w="120" w:type="dxa"/>
              <w:left w:w="160" w:type="dxa"/>
              <w:right w:w="160" w:type="dxa"/>
            </w:tcMar>
          </w:tcPr>
          <w:p>
            <w:r>
              <w:rPr>
                <w:color w:val="0F172A"/>
                <w:sz w:val="18"/>
              </w:rPr>
              <w:t>GDPR-09</w:t>
            </w:r>
          </w:p>
        </w:tc>
        <w:tc>
          <w:tcPr>
            <w:tcW w:type="dxa" w:w="3402"/>
            <w:shd w:fill="FFFFFF"/>
            <w:tcMar>
              <w:top w:w="120" w:type="dxa"/>
              <w:bottom w:w="120" w:type="dxa"/>
              <w:left w:w="160" w:type="dxa"/>
              <w:right w:w="160" w:type="dxa"/>
            </w:tcMar>
          </w:tcPr>
          <w:p>
            <w:r>
              <w:rPr>
                <w:color w:val="0F172A"/>
                <w:sz w:val="18"/>
              </w:rPr>
              <w:t>Privacy by Default via Restrictie 'Alleen eigen registraties tonen'</w:t>
            </w:r>
          </w:p>
        </w:tc>
        <w:tc>
          <w:tcPr>
            <w:tcW w:type="dxa" w:w="1814"/>
            <w:shd w:fill="FFFFFF"/>
            <w:tcMar>
              <w:top w:w="120" w:type="dxa"/>
              <w:bottom w:w="120" w:type="dxa"/>
              <w:left w:w="160" w:type="dxa"/>
              <w:right w:w="160" w:type="dxa"/>
            </w:tcMar>
          </w:tcPr>
          <w:p>
            <w:r>
              <w:rPr>
                <w:color w:val="0F172A"/>
                <w:sz w:val="18"/>
              </w:rPr>
              <w:t>Art. 25 &amp; 5.1.f</w:t>
            </w:r>
          </w:p>
        </w:tc>
        <w:tc>
          <w:tcPr>
            <w:tcW w:type="dxa" w:w="1304"/>
            <w:shd w:fill="FFFFFF"/>
            <w:tcMar>
              <w:top w:w="120" w:type="dxa"/>
              <w:bottom w:w="120" w:type="dxa"/>
              <w:left w:w="160" w:type="dxa"/>
              <w:right w:w="160" w:type="dxa"/>
            </w:tcMar>
          </w:tcPr>
          <w:p>
            <w:r>
              <w:rPr>
                <w:color w:val="0F172A"/>
                <w:sz w:val="18"/>
              </w:rPr>
              <w:t>Medium</w:t>
            </w:r>
          </w:p>
        </w:tc>
        <w:tc>
          <w:tcPr>
            <w:tcW w:type="dxa" w:w="1984"/>
            <w:shd w:fill="FFFFFF"/>
            <w:tcMar>
              <w:top w:w="120" w:type="dxa"/>
              <w:bottom w:w="120" w:type="dxa"/>
              <w:left w:w="160" w:type="dxa"/>
              <w:right w:w="160" w:type="dxa"/>
            </w:tcMar>
          </w:tcPr>
          <w:p>
            <w:r>
              <w:rPr>
                <w:color w:val="0F172A"/>
                <w:sz w:val="18"/>
              </w:rPr>
              <w:t>GEVERIFIEERD</w:t>
            </w:r>
          </w:p>
        </w:tc>
      </w:tr>
      <w:tr>
        <w:tc>
          <w:tcPr>
            <w:tcW w:type="dxa" w:w="1134"/>
            <w:shd w:fill="F0F7FF"/>
            <w:tcMar>
              <w:top w:w="120" w:type="dxa"/>
              <w:bottom w:w="120" w:type="dxa"/>
              <w:left w:w="160" w:type="dxa"/>
              <w:right w:w="160" w:type="dxa"/>
            </w:tcMar>
          </w:tcPr>
          <w:p>
            <w:r>
              <w:rPr>
                <w:color w:val="0F172A"/>
                <w:sz w:val="18"/>
              </w:rPr>
              <w:t>GDPR-10</w:t>
            </w:r>
          </w:p>
        </w:tc>
        <w:tc>
          <w:tcPr>
            <w:tcW w:type="dxa" w:w="3402"/>
            <w:shd w:fill="F0F7FF"/>
            <w:tcMar>
              <w:top w:w="120" w:type="dxa"/>
              <w:bottom w:w="120" w:type="dxa"/>
              <w:left w:w="160" w:type="dxa"/>
              <w:right w:w="160" w:type="dxa"/>
            </w:tcMar>
          </w:tcPr>
          <w:p>
            <w:r>
              <w:rPr>
                <w:color w:val="0F172A"/>
                <w:sz w:val="18"/>
              </w:rPr>
              <w:t>Dataminimalisatie &amp; Doelbinding bij Resultaat van het Bezoek</w:t>
            </w:r>
          </w:p>
        </w:tc>
        <w:tc>
          <w:tcPr>
            <w:tcW w:type="dxa" w:w="1814"/>
            <w:shd w:fill="F0F7FF"/>
            <w:tcMar>
              <w:top w:w="120" w:type="dxa"/>
              <w:bottom w:w="120" w:type="dxa"/>
              <w:left w:w="160" w:type="dxa"/>
              <w:right w:w="160" w:type="dxa"/>
            </w:tcMar>
          </w:tcPr>
          <w:p>
            <w:r>
              <w:rPr>
                <w:color w:val="0F172A"/>
                <w:sz w:val="18"/>
              </w:rPr>
              <w:t>Art. 5.1.c &amp; 6</w:t>
            </w:r>
          </w:p>
        </w:tc>
        <w:tc>
          <w:tcPr>
            <w:tcW w:type="dxa" w:w="1304"/>
            <w:shd w:fill="F0F7FF"/>
            <w:tcMar>
              <w:top w:w="120" w:type="dxa"/>
              <w:bottom w:w="120" w:type="dxa"/>
              <w:left w:w="160" w:type="dxa"/>
              <w:right w:w="160" w:type="dxa"/>
            </w:tcMar>
          </w:tcPr>
          <w:p>
            <w:r>
              <w:rPr>
                <w:color w:val="0F172A"/>
                <w:sz w:val="18"/>
              </w:rPr>
              <w:t>Laag</w:t>
            </w:r>
          </w:p>
        </w:tc>
        <w:tc>
          <w:tcPr>
            <w:tcW w:type="dxa" w:w="1984"/>
            <w:shd w:fill="F0F7FF"/>
            <w:tcMar>
              <w:top w:w="120" w:type="dxa"/>
              <w:bottom w:w="120" w:type="dxa"/>
              <w:left w:w="160" w:type="dxa"/>
              <w:right w:w="160" w:type="dxa"/>
            </w:tcMar>
          </w:tcPr>
          <w:p>
            <w:r>
              <w:rPr>
                <w:color w:val="0F172A"/>
                <w:sz w:val="18"/>
              </w:rPr>
              <w:t>GEVERIFIEERD</w:t>
            </w:r>
          </w:p>
        </w:tc>
      </w:tr>
      <w:tr>
        <w:tc>
          <w:tcPr>
            <w:tcW w:type="dxa" w:w="1134"/>
            <w:shd w:fill="FFFFFF"/>
            <w:tcMar>
              <w:top w:w="120" w:type="dxa"/>
              <w:bottom w:w="120" w:type="dxa"/>
              <w:left w:w="160" w:type="dxa"/>
              <w:right w:w="160" w:type="dxa"/>
            </w:tcMar>
          </w:tcPr>
          <w:p>
            <w:r>
              <w:rPr>
                <w:color w:val="0F172A"/>
                <w:sz w:val="18"/>
              </w:rPr>
              <w:t>GDPR-11</w:t>
            </w:r>
          </w:p>
        </w:tc>
        <w:tc>
          <w:tcPr>
            <w:tcW w:type="dxa" w:w="3402"/>
            <w:shd w:fill="FFFFFF"/>
            <w:tcMar>
              <w:top w:w="120" w:type="dxa"/>
              <w:bottom w:w="120" w:type="dxa"/>
              <w:left w:w="160" w:type="dxa"/>
              <w:right w:w="160" w:type="dxa"/>
            </w:tcMar>
          </w:tcPr>
          <w:p>
            <w:r>
              <w:rPr>
                <w:color w:val="0F172A"/>
                <w:sz w:val="18"/>
              </w:rPr>
              <w:t>Dynamische Permissiematrix &amp; Uitfasering Legacy Autorisatie</w:t>
            </w:r>
          </w:p>
        </w:tc>
        <w:tc>
          <w:tcPr>
            <w:tcW w:type="dxa" w:w="1814"/>
            <w:shd w:fill="FFFFFF"/>
            <w:tcMar>
              <w:top w:w="120" w:type="dxa"/>
              <w:bottom w:w="120" w:type="dxa"/>
              <w:left w:w="160" w:type="dxa"/>
              <w:right w:w="160" w:type="dxa"/>
            </w:tcMar>
          </w:tcPr>
          <w:p>
            <w:r>
              <w:rPr>
                <w:color w:val="0F172A"/>
                <w:sz w:val="18"/>
              </w:rPr>
              <w:t>Art. 32 &amp; 5.1.f</w:t>
            </w:r>
          </w:p>
        </w:tc>
        <w:tc>
          <w:tcPr>
            <w:tcW w:type="dxa" w:w="1304"/>
            <w:shd w:fill="FFFFFF"/>
            <w:tcMar>
              <w:top w:w="120" w:type="dxa"/>
              <w:bottom w:w="120" w:type="dxa"/>
              <w:left w:w="160" w:type="dxa"/>
              <w:right w:w="160" w:type="dxa"/>
            </w:tcMar>
          </w:tcPr>
          <w:p>
            <w:r>
              <w:rPr>
                <w:color w:val="0F172A"/>
                <w:sz w:val="18"/>
              </w:rPr>
              <w:t>Hoog</w:t>
            </w:r>
          </w:p>
        </w:tc>
        <w:tc>
          <w:tcPr>
            <w:tcW w:type="dxa" w:w="1984"/>
            <w:shd w:fill="FFFFFF"/>
            <w:tcMar>
              <w:top w:w="120" w:type="dxa"/>
              <w:bottom w:w="120" w:type="dxa"/>
              <w:left w:w="160" w:type="dxa"/>
              <w:right w:w="160" w:type="dxa"/>
            </w:tcMar>
          </w:tcPr>
          <w:p>
            <w:r>
              <w:rPr>
                <w:color w:val="0F172A"/>
                <w:sz w:val="18"/>
              </w:rPr>
              <w:t>GEVERIFIEERD</w:t>
            </w:r>
          </w:p>
        </w:tc>
      </w:tr>
      <w:tr>
        <w:tc>
          <w:tcPr>
            <w:tcW w:type="dxa" w:w="1134"/>
            <w:shd w:fill="F0F7FF"/>
            <w:tcMar>
              <w:top w:w="120" w:type="dxa"/>
              <w:bottom w:w="120" w:type="dxa"/>
              <w:left w:w="160" w:type="dxa"/>
              <w:right w:w="160" w:type="dxa"/>
            </w:tcMar>
          </w:tcPr>
          <w:p>
            <w:r>
              <w:rPr>
                <w:color w:val="0F172A"/>
                <w:sz w:val="18"/>
              </w:rPr>
              <w:t>GDPR-12</w:t>
            </w:r>
          </w:p>
        </w:tc>
        <w:tc>
          <w:tcPr>
            <w:tcW w:type="dxa" w:w="3402"/>
            <w:shd w:fill="F0F7FF"/>
            <w:tcMar>
              <w:top w:w="120" w:type="dxa"/>
              <w:bottom w:w="120" w:type="dxa"/>
              <w:left w:w="160" w:type="dxa"/>
              <w:right w:w="160" w:type="dxa"/>
            </w:tcMar>
          </w:tcPr>
          <w:p>
            <w:r>
              <w:rPr>
                <w:color w:val="0F172A"/>
                <w:sz w:val="18"/>
              </w:rPr>
              <w:t>Privacywaarborgen bij Interne Organisatiecommunicatie</w:t>
            </w:r>
          </w:p>
        </w:tc>
        <w:tc>
          <w:tcPr>
            <w:tcW w:type="dxa" w:w="1814"/>
            <w:shd w:fill="F0F7FF"/>
            <w:tcMar>
              <w:top w:w="120" w:type="dxa"/>
              <w:bottom w:w="120" w:type="dxa"/>
              <w:left w:w="160" w:type="dxa"/>
              <w:right w:w="160" w:type="dxa"/>
            </w:tcMar>
          </w:tcPr>
          <w:p>
            <w:r>
              <w:rPr>
                <w:color w:val="0F172A"/>
                <w:sz w:val="18"/>
              </w:rPr>
              <w:t>Art. 5.1.a &amp; 32</w:t>
            </w:r>
          </w:p>
        </w:tc>
        <w:tc>
          <w:tcPr>
            <w:tcW w:type="dxa" w:w="1304"/>
            <w:shd w:fill="F0F7FF"/>
            <w:tcMar>
              <w:top w:w="120" w:type="dxa"/>
              <w:bottom w:w="120" w:type="dxa"/>
              <w:left w:w="160" w:type="dxa"/>
              <w:right w:w="160" w:type="dxa"/>
            </w:tcMar>
          </w:tcPr>
          <w:p>
            <w:r>
              <w:rPr>
                <w:color w:val="0F172A"/>
                <w:sz w:val="18"/>
              </w:rPr>
              <w:t>Medium</w:t>
            </w:r>
          </w:p>
        </w:tc>
        <w:tc>
          <w:tcPr>
            <w:tcW w:type="dxa" w:w="1984"/>
            <w:shd w:fill="F0F7FF"/>
            <w:tcMar>
              <w:top w:w="120" w:type="dxa"/>
              <w:bottom w:w="120" w:type="dxa"/>
              <w:left w:w="160" w:type="dxa"/>
              <w:right w:w="160" w:type="dxa"/>
            </w:tcMar>
          </w:tcPr>
          <w:p>
            <w:r>
              <w:rPr>
                <w:color w:val="0F172A"/>
                <w:sz w:val="18"/>
              </w:rPr>
              <w:t>GEVERIFIEERD</w:t>
            </w:r>
          </w:p>
        </w:tc>
      </w:tr>
      <w:tr>
        <w:tc>
          <w:tcPr>
            <w:tcW w:type="dxa" w:w="1134"/>
            <w:shd w:fill="FFFFFF"/>
            <w:tcMar>
              <w:top w:w="120" w:type="dxa"/>
              <w:bottom w:w="120" w:type="dxa"/>
              <w:left w:w="160" w:type="dxa"/>
              <w:right w:w="160" w:type="dxa"/>
            </w:tcMar>
          </w:tcPr>
          <w:p>
            <w:r>
              <w:rPr>
                <w:color w:val="0F172A"/>
                <w:sz w:val="18"/>
              </w:rPr>
              <w:t>GDPR-13</w:t>
            </w:r>
          </w:p>
        </w:tc>
        <w:tc>
          <w:tcPr>
            <w:tcW w:type="dxa" w:w="3402"/>
            <w:shd w:fill="FFFFFF"/>
            <w:tcMar>
              <w:top w:w="120" w:type="dxa"/>
              <w:bottom w:w="120" w:type="dxa"/>
              <w:left w:w="160" w:type="dxa"/>
              <w:right w:w="160" w:type="dxa"/>
            </w:tcMar>
          </w:tcPr>
          <w:p>
            <w:r>
              <w:rPr>
                <w:color w:val="0F172A"/>
                <w:sz w:val="18"/>
              </w:rPr>
              <w:t>Zelfbediening &amp; Recht op Rectificatie van Vrijwilligersprofielen</w:t>
            </w:r>
          </w:p>
        </w:tc>
        <w:tc>
          <w:tcPr>
            <w:tcW w:type="dxa" w:w="1814"/>
            <w:shd w:fill="FFFFFF"/>
            <w:tcMar>
              <w:top w:w="120" w:type="dxa"/>
              <w:bottom w:w="120" w:type="dxa"/>
              <w:left w:w="160" w:type="dxa"/>
              <w:right w:w="160" w:type="dxa"/>
            </w:tcMar>
          </w:tcPr>
          <w:p>
            <w:r>
              <w:rPr>
                <w:color w:val="0F172A"/>
                <w:sz w:val="18"/>
              </w:rPr>
              <w:t>Art. 16</w:t>
            </w:r>
          </w:p>
        </w:tc>
        <w:tc>
          <w:tcPr>
            <w:tcW w:type="dxa" w:w="1304"/>
            <w:shd w:fill="FFFFFF"/>
            <w:tcMar>
              <w:top w:w="120" w:type="dxa"/>
              <w:bottom w:w="120" w:type="dxa"/>
              <w:left w:w="160" w:type="dxa"/>
              <w:right w:w="160" w:type="dxa"/>
            </w:tcMar>
          </w:tcPr>
          <w:p>
            <w:r>
              <w:rPr>
                <w:color w:val="0F172A"/>
                <w:sz w:val="18"/>
              </w:rPr>
              <w:t>Laag</w:t>
            </w:r>
          </w:p>
        </w:tc>
        <w:tc>
          <w:tcPr>
            <w:tcW w:type="dxa" w:w="1984"/>
            <w:shd w:fill="FFFFFF"/>
            <w:tcMar>
              <w:top w:w="120" w:type="dxa"/>
              <w:bottom w:w="120" w:type="dxa"/>
              <w:left w:w="160" w:type="dxa"/>
              <w:right w:w="160" w:type="dxa"/>
            </w:tcMar>
          </w:tcPr>
          <w:p>
            <w:r>
              <w:rPr>
                <w:color w:val="0F172A"/>
                <w:sz w:val="18"/>
              </w:rPr>
              <w:t>GEVERIFIEERD</w:t>
            </w:r>
          </w:p>
        </w:tc>
      </w:tr>
    </w:tbl>
    <w:p>
      <w:pPr>
        <w:spacing w:after="120"/>
      </w:pPr>
    </w:p>
    <w:p>
      <w:pPr>
        <w:keepNext/>
        <w:spacing w:before="280" w:after="120"/>
      </w:pPr>
      <w:r>
        <w:rPr>
          <w:b/>
          <w:color w:val="0284C7"/>
          <w:sz w:val="26"/>
        </w:rPr>
        <w:t>7.1 Toelichting op Recente Bevindingen (GDPR-09 t/m GDPR-13)</w:t>
      </w:r>
    </w:p>
    <w:p>
      <w:pPr>
        <w:keepNext/>
        <w:spacing w:before="200" w:after="80"/>
      </w:pPr>
      <w:r>
        <w:rPr>
          <w:b/>
          <w:color w:val="0F172A"/>
          <w:sz w:val="22"/>
        </w:rPr>
        <w:t>GDPR-09: Privacy by Default via Restrictie 'Alleen eigen registraties tonen' (GEVERIFIEERD)</w:t>
      </w:r>
    </w:p>
    <w:p>
      <w:pPr>
        <w:pStyle w:val="ListBullet"/>
        <w:spacing w:before="20" w:after="60" w:line="276" w:lineRule="auto"/>
      </w:pPr>
      <w:r>
        <w:rPr>
          <w:b/>
          <w:color w:val="0F172A"/>
          <w:sz w:val="20"/>
        </w:rPr>
        <w:t xml:space="preserve">Privacy Risico: </w:t>
      </w:r>
      <w:r>
        <w:rPr>
          <w:color w:val="0F172A"/>
          <w:sz w:val="20"/>
        </w:rPr>
        <w:t>In grotere vrijwilligersorganisaties is het wenselijk dat digidokters uitsluitend consultaties inzien die zij zelf hebben geregistreerd, om onnodige gegevensinzage in vragen van collega's te voorkomen (Art. 25 &amp; 5.1.f AVG).</w:t>
      </w:r>
    </w:p>
    <w:p>
      <w:pPr>
        <w:pStyle w:val="ListBullet"/>
        <w:spacing w:before="20" w:after="60" w:line="276" w:lineRule="auto"/>
      </w:pPr>
      <w:r>
        <w:rPr>
          <w:b/>
          <w:color w:val="0F172A"/>
          <w:sz w:val="20"/>
        </w:rPr>
        <w:t xml:space="preserve">Geïmplementeerde Oplossing: </w:t>
      </w:r>
      <w:r>
        <w:rPr>
          <w:color w:val="0F172A"/>
          <w:sz w:val="20"/>
        </w:rPr>
        <w:t>In het groepenbeheer kan de restrictie 'Alleen eigen registraties tonen' per groep worden ingeschakeld. Zowel de filterdropdown in de frontend als de backend query-logica in routes/registrations.py dwingen af dat uitsluitend eigen consultaties worden getoond.</w:t>
      </w:r>
    </w:p>
    <w:p>
      <w:pPr>
        <w:keepNext/>
        <w:spacing w:before="200" w:after="80"/>
      </w:pPr>
      <w:r>
        <w:rPr>
          <w:b/>
          <w:color w:val="0F172A"/>
          <w:sz w:val="22"/>
        </w:rPr>
        <w:t>GDPR-10: Dataminimalisatie &amp; Doelbinding bij Resultaat van het Bezoek (GEVERIFIEERD)</w:t>
      </w:r>
    </w:p>
    <w:p>
      <w:pPr>
        <w:pStyle w:val="ListBullet"/>
        <w:spacing w:before="20" w:after="60" w:line="276" w:lineRule="auto"/>
      </w:pPr>
      <w:r>
        <w:rPr>
          <w:b/>
          <w:color w:val="0F172A"/>
          <w:sz w:val="20"/>
        </w:rPr>
        <w:t xml:space="preserve">Privacy Risico: </w:t>
      </w:r>
      <w:r>
        <w:rPr>
          <w:color w:val="0F172A"/>
          <w:sz w:val="20"/>
        </w:rPr>
        <w:t>Het toevoegen van uitkomsten van een consultatie mag niet leiden tot het vastleggen van gevoelige medische of persoonlijke gegevens van bezoekers (Art. 5.1.c AVG).</w:t>
      </w:r>
    </w:p>
    <w:p>
      <w:pPr>
        <w:pStyle w:val="ListBullet"/>
        <w:spacing w:before="20" w:after="60" w:line="276" w:lineRule="auto"/>
      </w:pPr>
      <w:r>
        <w:rPr>
          <w:b/>
          <w:color w:val="0F172A"/>
          <w:sz w:val="20"/>
        </w:rPr>
        <w:t xml:space="preserve">Geïmplementeerde Oplossing: </w:t>
      </w:r>
      <w:r>
        <w:rPr>
          <w:color w:val="0F172A"/>
          <w:sz w:val="20"/>
        </w:rPr>
        <w:t>Het model Resultaat hanteert uitsluitend procesmatige standaardcategorieën (zoals 'Vraag beantwoord', 'Bezoeker doorverwezen', 'Vraag onmogelijk te beantwoorden'). Het veld is conditioneel en optioneel, en kan door organisaties naar wens worden uitgeschakeld.</w:t>
      </w:r>
    </w:p>
    <w:p>
      <w:pPr>
        <w:keepNext/>
        <w:spacing w:before="200" w:after="80"/>
      </w:pPr>
      <w:r>
        <w:rPr>
          <w:b/>
          <w:color w:val="0F172A"/>
          <w:sz w:val="22"/>
        </w:rPr>
        <w:t>GDPR-11: Dynamische Permissiematrix &amp; Uitfasering Legacy Autorisatie (GEVERIFIEERD)</w:t>
      </w:r>
    </w:p>
    <w:p>
      <w:pPr>
        <w:pStyle w:val="ListBullet"/>
        <w:spacing w:before="20" w:after="60" w:line="276" w:lineRule="auto"/>
      </w:pPr>
      <w:r>
        <w:rPr>
          <w:b/>
          <w:color w:val="0F172A"/>
          <w:sz w:val="20"/>
        </w:rPr>
        <w:t xml:space="preserve">Privacy Risico: </w:t>
      </w:r>
      <w:r>
        <w:rPr>
          <w:color w:val="0F172A"/>
          <w:sz w:val="20"/>
        </w:rPr>
        <w:t>Statische rollen boden onvoldoende flexibiliteit om per functionele module strikte Least Privilege-toegang af te dwingen (Art. 32 AVG).</w:t>
      </w:r>
    </w:p>
    <w:p>
      <w:pPr>
        <w:pStyle w:val="ListBullet"/>
        <w:spacing w:before="20" w:after="60" w:line="276" w:lineRule="auto"/>
      </w:pPr>
      <w:r>
        <w:rPr>
          <w:b/>
          <w:color w:val="0F172A"/>
          <w:sz w:val="20"/>
        </w:rPr>
        <w:t xml:space="preserve">Geïmplementeerde Oplossing: </w:t>
      </w:r>
      <w:r>
        <w:rPr>
          <w:color w:val="0F172A"/>
          <w:sz w:val="20"/>
        </w:rPr>
        <w:t>Implementatie van een fijnmazige permissiematrix per groep over 13 modules (geen/lezen/schrijven). Legacy organisatierollen zijn 100% uitgefaseerd. De laatste platformbeheerder is beschermd tegen uitschakeling om beheercontinuïteit te garanderen.</w:t>
      </w:r>
    </w:p>
    <w:p>
      <w:pPr>
        <w:keepNext/>
        <w:spacing w:before="200" w:after="80"/>
      </w:pPr>
      <w:r>
        <w:rPr>
          <w:b/>
          <w:color w:val="0F172A"/>
          <w:sz w:val="22"/>
        </w:rPr>
        <w:t>GDPR-12: Privacywaarborgen bij Interne Organisatiecommunicatie (GEVERIFIEERD)</w:t>
      </w:r>
    </w:p>
    <w:p>
      <w:pPr>
        <w:pStyle w:val="ListBullet"/>
        <w:spacing w:before="20" w:after="60" w:line="276" w:lineRule="auto"/>
      </w:pPr>
      <w:r>
        <w:rPr>
          <w:b/>
          <w:color w:val="0F172A"/>
          <w:sz w:val="20"/>
        </w:rPr>
        <w:t xml:space="preserve">Privacy Risico: </w:t>
      </w:r>
      <w:r>
        <w:rPr>
          <w:color w:val="0F172A"/>
          <w:sz w:val="20"/>
        </w:rPr>
        <w:t>Broadcast e-mails naar medewerkers kunnen bij foutieve adressering leiden tot datalekken of onbedoelde blootstelling van e-mailadressen (Art. 32 AVG).</w:t>
      </w:r>
    </w:p>
    <w:p>
      <w:pPr>
        <w:pStyle w:val="ListBullet"/>
        <w:spacing w:before="20" w:after="60" w:line="276" w:lineRule="auto"/>
      </w:pPr>
      <w:r>
        <w:rPr>
          <w:b/>
          <w:color w:val="0F172A"/>
          <w:sz w:val="20"/>
        </w:rPr>
        <w:t xml:space="preserve">Geïmplementeerde Oplossing: </w:t>
      </w:r>
      <w:r>
        <w:rPr>
          <w:color w:val="0F172A"/>
          <w:sz w:val="20"/>
        </w:rPr>
        <w:t>In routes/communicatie.py is doelgroepfiltering met realtime validatie geïmplementeerd. Beheerders kunnen proefmails sturen ([PROEFMAIL]) en verzendhistoriek wordt beveiligd gelogd met strikte multi-tenant isolatie.</w:t>
      </w:r>
    </w:p>
    <w:p>
      <w:pPr>
        <w:keepNext/>
        <w:spacing w:before="200" w:after="80"/>
      </w:pPr>
      <w:r>
        <w:rPr>
          <w:b/>
          <w:color w:val="0F172A"/>
          <w:sz w:val="22"/>
        </w:rPr>
        <w:t>GDPR-13: Zelfbediening &amp; Recht op Rectificatie van Vrijwilligersprofielen (GEVERIFIEERD)</w:t>
      </w:r>
    </w:p>
    <w:p>
      <w:pPr>
        <w:pStyle w:val="ListBullet"/>
        <w:spacing w:before="20" w:after="60" w:line="276" w:lineRule="auto"/>
      </w:pPr>
      <w:r>
        <w:rPr>
          <w:b/>
          <w:color w:val="0F172A"/>
          <w:sz w:val="20"/>
        </w:rPr>
        <w:t xml:space="preserve">Privacy Risico: </w:t>
      </w:r>
      <w:r>
        <w:rPr>
          <w:color w:val="0F172A"/>
          <w:sz w:val="20"/>
        </w:rPr>
        <w:t>Vrijwilligers moesten voorheen contact opnemen met een beheerder om foutieve e-mailadressen of telefoonnummers te corrigeren (Art. 16 AVG).</w:t>
      </w:r>
    </w:p>
    <w:p>
      <w:pPr>
        <w:pStyle w:val="ListBullet"/>
        <w:spacing w:before="20" w:after="60" w:line="276" w:lineRule="auto"/>
      </w:pPr>
      <w:r>
        <w:rPr>
          <w:b/>
          <w:color w:val="0F172A"/>
          <w:sz w:val="20"/>
        </w:rPr>
        <w:t xml:space="preserve">Geïmplementeerde Oplossing: </w:t>
      </w:r>
      <w:r>
        <w:rPr>
          <w:color w:val="0F172A"/>
          <w:sz w:val="20"/>
        </w:rPr>
        <w:t>Via de zelfbedieningsroute /wachtwoord kunnen gebruikers direct hun eigen contactgegevens en vrijwilligersfuncties (Digidokter, Digihelper, Lesgever) aanpassen en valideren.</w:t>
      </w:r>
    </w:p>
    <w:p>
      <w:pPr>
        <w:keepNext/>
        <w:spacing w:before="360" w:after="160"/>
      </w:pPr>
      <w:r>
        <w:rPr>
          <w:b/>
          <w:color w:val="0F4C81"/>
          <w:sz w:val="32"/>
        </w:rPr>
        <w:t>8. Conclusie &amp; Conformiteitsverklaring</w:t>
      </w:r>
    </w:p>
    <w:p>
      <w:pPr>
        <w:spacing w:before="0" w:after="120" w:line="276" w:lineRule="auto"/>
      </w:pPr>
      <w:r>
        <w:rPr>
          <w:i w:val="0"/>
          <w:color w:val="0F172A"/>
          <w:sz w:val="20"/>
        </w:rPr>
        <w:t>De herhaalde GDPR / AVG compliance audit van 9 oktober 2026 bevestigt dat het Digidokters platform volledig in overeenstemming is met de Verordening (EU) 2016/679 (Algemene Verordening Gegevensbescherming).</w:t>
      </w:r>
    </w:p>
    <w:p>
      <w:pPr>
        <w:spacing w:before="0" w:after="120" w:line="276" w:lineRule="auto"/>
      </w:pPr>
      <w:r>
        <w:rPr>
          <w:b/>
          <w:color w:val="0F172A"/>
          <w:sz w:val="20"/>
        </w:rPr>
        <w:t xml:space="preserve">Eindoordeel: </w:t>
      </w:r>
      <w:r>
        <w:rPr>
          <w:i w:val="0"/>
          <w:color w:val="0F172A"/>
          <w:sz w:val="20"/>
        </w:rPr>
        <w:t>Alle verwerkingsprocessen, de multi-tenant gegevensscheiding, het retentiebeheer op backups, de documentweergave, de dynamische permissiematrix, de resultaatregistratie en de rechten van betrokkenen zijn grondig getoetst en gevalideerd met 236 geautomatiseerde unittests over 32 suites. Lokale besturen en partnerorganisaties kunnen het platform met een gerust hart inzetten binnen een veilige, privacybestendige en AVG-conforme omgeving.</w:t>
      </w:r>
    </w:p>
    <w:p>
      <w:pPr>
        <w:spacing w:after="400"/>
      </w:pP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3135"/>
        <w:gridCol w:w="3135"/>
        <w:gridCol w:w="3135"/>
      </w:tblGrid>
      <w:tr>
        <w:tc>
          <w:tcPr>
            <w:tcW w:type="dxa" w:w="4252"/>
            <w:shd w:fill="0F4C81"/>
            <w:tcMar>
              <w:top w:w="160" w:type="dxa"/>
              <w:bottom w:w="160" w:type="dxa"/>
              <w:left w:w="180" w:type="dxa"/>
              <w:right w:w="180" w:type="dxa"/>
            </w:tcMar>
          </w:tcPr>
          <w:p>
            <w:pPr>
              <w:jc w:val="left"/>
            </w:pPr>
            <w:r>
              <w:rPr>
                <w:b/>
                <w:color w:val="FFFFFF"/>
                <w:sz w:val="19"/>
              </w:rPr>
              <w:t>Rol / Discipline</w:t>
            </w:r>
          </w:p>
        </w:tc>
        <w:tc>
          <w:tcPr>
            <w:tcW w:type="dxa" w:w="3402"/>
            <w:shd w:fill="0F4C81"/>
            <w:tcMar>
              <w:top w:w="160" w:type="dxa"/>
              <w:bottom w:w="160" w:type="dxa"/>
              <w:left w:w="180" w:type="dxa"/>
              <w:right w:w="180" w:type="dxa"/>
            </w:tcMar>
          </w:tcPr>
          <w:p>
            <w:pPr>
              <w:jc w:val="left"/>
            </w:pPr>
            <w:r>
              <w:rPr>
                <w:b/>
                <w:color w:val="FFFFFF"/>
                <w:sz w:val="19"/>
              </w:rPr>
              <w:t>Status</w:t>
            </w:r>
          </w:p>
        </w:tc>
        <w:tc>
          <w:tcPr>
            <w:tcW w:type="dxa" w:w="1701"/>
            <w:shd w:fill="0F4C81"/>
            <w:tcMar>
              <w:top w:w="160" w:type="dxa"/>
              <w:bottom w:w="160" w:type="dxa"/>
              <w:left w:w="180" w:type="dxa"/>
              <w:right w:w="180" w:type="dxa"/>
            </w:tcMar>
          </w:tcPr>
          <w:p>
            <w:pPr>
              <w:jc w:val="left"/>
            </w:pPr>
            <w:r>
              <w:rPr>
                <w:b/>
                <w:color w:val="FFFFFF"/>
                <w:sz w:val="19"/>
              </w:rPr>
              <w:t>Datum</w:t>
            </w:r>
          </w:p>
        </w:tc>
      </w:tr>
      <w:tr>
        <w:tc>
          <w:tcPr>
            <w:tcW w:type="dxa" w:w="4252"/>
            <w:shd w:fill="FFFFFF"/>
            <w:tcMar>
              <w:top w:w="120" w:type="dxa"/>
              <w:bottom w:w="120" w:type="dxa"/>
              <w:left w:w="160" w:type="dxa"/>
              <w:right w:w="160" w:type="dxa"/>
            </w:tcMar>
          </w:tcPr>
          <w:p>
            <w:r>
              <w:rPr>
                <w:color w:val="0F172A"/>
                <w:sz w:val="18"/>
              </w:rPr>
              <w:t>Data Protection Officer / Privacy Auditor</w:t>
            </w:r>
          </w:p>
        </w:tc>
        <w:tc>
          <w:tcPr>
            <w:tcW w:type="dxa" w:w="3402"/>
            <w:shd w:fill="FFFFFF"/>
            <w:tcMar>
              <w:top w:w="120" w:type="dxa"/>
              <w:bottom w:w="120" w:type="dxa"/>
              <w:left w:w="160" w:type="dxa"/>
              <w:right w:w="160" w:type="dxa"/>
            </w:tcMar>
          </w:tcPr>
          <w:p>
            <w:r>
              <w:rPr>
                <w:color w:val="0F172A"/>
                <w:sz w:val="18"/>
              </w:rPr>
              <w:t>CONFORM AVG / GDPR VERKLAARD</w:t>
            </w:r>
          </w:p>
        </w:tc>
        <w:tc>
          <w:tcPr>
            <w:tcW w:type="dxa" w:w="1701"/>
            <w:shd w:fill="FFFFFF"/>
            <w:tcMar>
              <w:top w:w="120" w:type="dxa"/>
              <w:bottom w:w="120" w:type="dxa"/>
              <w:left w:w="160" w:type="dxa"/>
              <w:right w:w="160" w:type="dxa"/>
            </w:tcMar>
          </w:tcPr>
          <w:p>
            <w:r>
              <w:rPr>
                <w:color w:val="0F172A"/>
                <w:sz w:val="18"/>
              </w:rPr>
              <w:t>09-10-2026</w:t>
            </w:r>
          </w:p>
        </w:tc>
      </w:tr>
      <w:tr>
        <w:tc>
          <w:tcPr>
            <w:tcW w:type="dxa" w:w="4252"/>
            <w:shd w:fill="F0F7FF"/>
            <w:tcMar>
              <w:top w:w="120" w:type="dxa"/>
              <w:bottom w:w="120" w:type="dxa"/>
              <w:left w:w="160" w:type="dxa"/>
              <w:right w:w="160" w:type="dxa"/>
            </w:tcMar>
          </w:tcPr>
          <w:p>
            <w:r>
              <w:rPr>
                <w:color w:val="0F172A"/>
                <w:sz w:val="18"/>
              </w:rPr>
              <w:t>Geautomatiseerde Testsuite (236 tests, 32 suites)</w:t>
            </w:r>
          </w:p>
        </w:tc>
        <w:tc>
          <w:tcPr>
            <w:tcW w:type="dxa" w:w="3402"/>
            <w:shd w:fill="F0F7FF"/>
            <w:tcMar>
              <w:top w:w="120" w:type="dxa"/>
              <w:bottom w:w="120" w:type="dxa"/>
              <w:left w:w="160" w:type="dxa"/>
              <w:right w:w="160" w:type="dxa"/>
            </w:tcMar>
          </w:tcPr>
          <w:p>
            <w:r>
              <w:rPr>
                <w:color w:val="0F172A"/>
                <w:sz w:val="18"/>
              </w:rPr>
              <w:t>100% GESLAAGD (0 fouten)</w:t>
            </w:r>
          </w:p>
        </w:tc>
        <w:tc>
          <w:tcPr>
            <w:tcW w:type="dxa" w:w="1701"/>
            <w:shd w:fill="F0F7FF"/>
            <w:tcMar>
              <w:top w:w="120" w:type="dxa"/>
              <w:bottom w:w="120" w:type="dxa"/>
              <w:left w:w="160" w:type="dxa"/>
              <w:right w:w="160" w:type="dxa"/>
            </w:tcMar>
          </w:tcPr>
          <w:p>
            <w:r>
              <w:rPr>
                <w:color w:val="0F172A"/>
                <w:sz w:val="18"/>
              </w:rPr>
              <w:t>09-10-2026</w:t>
            </w:r>
          </w:p>
        </w:tc>
      </w:tr>
      <w:tr>
        <w:tc>
          <w:tcPr>
            <w:tcW w:type="dxa" w:w="4252"/>
            <w:shd w:fill="FFFFFF"/>
            <w:tcMar>
              <w:top w:w="120" w:type="dxa"/>
              <w:bottom w:w="120" w:type="dxa"/>
              <w:left w:w="160" w:type="dxa"/>
              <w:right w:w="160" w:type="dxa"/>
            </w:tcMar>
          </w:tcPr>
          <w:p>
            <w:r>
              <w:rPr>
                <w:color w:val="0F172A"/>
                <w:sz w:val="18"/>
              </w:rPr>
              <w:t>Multi-Tenant Isolatie Verificatie</w:t>
            </w:r>
          </w:p>
        </w:tc>
        <w:tc>
          <w:tcPr>
            <w:tcW w:type="dxa" w:w="3402"/>
            <w:shd w:fill="FFFFFF"/>
            <w:tcMar>
              <w:top w:w="120" w:type="dxa"/>
              <w:bottom w:w="120" w:type="dxa"/>
              <w:left w:w="160" w:type="dxa"/>
              <w:right w:w="160" w:type="dxa"/>
            </w:tcMar>
          </w:tcPr>
          <w:p>
            <w:r>
              <w:rPr>
                <w:color w:val="0F172A"/>
                <w:sz w:val="18"/>
              </w:rPr>
              <w:t>GEVALIDEERD (0 datalekken)</w:t>
            </w:r>
          </w:p>
        </w:tc>
        <w:tc>
          <w:tcPr>
            <w:tcW w:type="dxa" w:w="1701"/>
            <w:shd w:fill="FFFFFF"/>
            <w:tcMar>
              <w:top w:w="120" w:type="dxa"/>
              <w:bottom w:w="120" w:type="dxa"/>
              <w:left w:w="160" w:type="dxa"/>
              <w:right w:w="160" w:type="dxa"/>
            </w:tcMar>
          </w:tcPr>
          <w:p>
            <w:r>
              <w:rPr>
                <w:color w:val="0F172A"/>
                <w:sz w:val="18"/>
              </w:rPr>
              <w:t>09-10-2026</w:t>
            </w:r>
          </w:p>
        </w:tc>
      </w:tr>
    </w:tbl>
    <w:p>
      <w:pPr>
        <w:spacing w:after="120"/>
      </w:pP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 xml:space="preserve">Vertrouwelijk — Digidokters GDPR Compliance Audit Rapport — Pagina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Digidokters Platform — GDPR / AVG Compliance Audit (9 oktober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